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69" w:rsidRPr="00091169" w:rsidRDefault="00091169" w:rsidP="00091169">
      <w:pPr>
        <w:widowControl w:val="0"/>
        <w:tabs>
          <w:tab w:val="left" w:pos="426"/>
        </w:tabs>
        <w:autoSpaceDE w:val="0"/>
        <w:autoSpaceDN w:val="0"/>
        <w:spacing w:after="0" w:line="240" w:lineRule="auto"/>
        <w:ind w:left="426" w:hanging="426"/>
        <w:jc w:val="both"/>
        <w:rPr>
          <w:rFonts w:ascii="Verdana" w:eastAsia="Arial" w:hAnsi="Verdana" w:cs="Arial"/>
          <w:color w:val="000000"/>
          <w:sz w:val="21"/>
          <w:szCs w:val="21"/>
          <w:lang w:eastAsia="it-IT" w:bidi="it-IT"/>
        </w:rPr>
      </w:pPr>
      <w:r w:rsidRPr="00091169">
        <w:rPr>
          <w:rFonts w:ascii="Verdana" w:eastAsia="Arial" w:hAnsi="Verdana" w:cs="Arial"/>
          <w:color w:val="000000"/>
          <w:sz w:val="21"/>
          <w:szCs w:val="21"/>
          <w:u w:val="single"/>
          <w:lang w:eastAsia="it-IT" w:bidi="it-IT"/>
        </w:rPr>
        <w:t>DECRETO SCUOLA, INTESE NON RISPETTATE: AL VIA LA MOBILITAZIONE. COMUNICATO UNITARIO</w:t>
      </w:r>
    </w:p>
    <w:p w:rsidR="00091169" w:rsidRPr="00091169" w:rsidRDefault="00091169" w:rsidP="00091169">
      <w:pPr>
        <w:widowControl w:val="0"/>
        <w:tabs>
          <w:tab w:val="left" w:pos="426"/>
        </w:tabs>
        <w:autoSpaceDE w:val="0"/>
        <w:autoSpaceDN w:val="0"/>
        <w:spacing w:after="0" w:line="240" w:lineRule="auto"/>
        <w:jc w:val="both"/>
        <w:rPr>
          <w:rFonts w:ascii="Verdana" w:eastAsia="Arial" w:hAnsi="Verdana" w:cs="Arial"/>
          <w:color w:val="000000"/>
          <w:sz w:val="21"/>
          <w:szCs w:val="21"/>
          <w:lang w:eastAsia="it-IT" w:bidi="it-IT"/>
        </w:rPr>
      </w:pPr>
    </w:p>
    <w:p w:rsidR="00091169" w:rsidRPr="00091169" w:rsidRDefault="00091169" w:rsidP="00091169">
      <w:pPr>
        <w:widowControl w:val="0"/>
        <w:tabs>
          <w:tab w:val="left" w:pos="426"/>
        </w:tabs>
        <w:autoSpaceDE w:val="0"/>
        <w:autoSpaceDN w:val="0"/>
        <w:spacing w:after="0" w:line="240" w:lineRule="auto"/>
        <w:jc w:val="both"/>
        <w:rPr>
          <w:rFonts w:ascii="Verdana" w:eastAsia="Arial" w:hAnsi="Verdana" w:cs="Arial"/>
          <w:color w:val="000000"/>
          <w:sz w:val="21"/>
          <w:szCs w:val="21"/>
          <w:lang w:eastAsia="it-IT" w:bidi="it-IT"/>
        </w:rPr>
      </w:pPr>
    </w:p>
    <w:p w:rsidR="00091169" w:rsidRPr="00091169" w:rsidRDefault="00091169" w:rsidP="00091169">
      <w:pPr>
        <w:widowControl w:val="0"/>
        <w:tabs>
          <w:tab w:val="left" w:pos="426"/>
        </w:tabs>
        <w:autoSpaceDE w:val="0"/>
        <w:autoSpaceDN w:val="0"/>
        <w:spacing w:after="0" w:line="240" w:lineRule="auto"/>
        <w:jc w:val="center"/>
        <w:rPr>
          <w:rFonts w:ascii="Verdana" w:eastAsia="Arial" w:hAnsi="Verdana" w:cs="Arial"/>
          <w:color w:val="000000"/>
          <w:sz w:val="21"/>
          <w:szCs w:val="21"/>
          <w:lang w:eastAsia="it-IT" w:bidi="it-IT"/>
        </w:rPr>
      </w:pPr>
      <w:r w:rsidRPr="00091169">
        <w:rPr>
          <w:rFonts w:ascii="Verdana" w:eastAsia="Arial" w:hAnsi="Verdana" w:cs="Arial"/>
          <w:noProof/>
          <w:color w:val="000000"/>
          <w:szCs w:val="21"/>
          <w:lang w:eastAsia="it-IT"/>
        </w:rPr>
        <w:drawing>
          <wp:inline distT="0" distB="0" distL="0" distR="0" wp14:anchorId="59F9925C" wp14:editId="5670BCD8">
            <wp:extent cx="5818204" cy="5810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Loghi-unit 2019 O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5517" cy="581755"/>
                    </a:xfrm>
                    <a:prstGeom prst="rect">
                      <a:avLst/>
                    </a:prstGeom>
                  </pic:spPr>
                </pic:pic>
              </a:graphicData>
            </a:graphic>
          </wp:inline>
        </w:drawing>
      </w:r>
    </w:p>
    <w:p w:rsidR="00091169" w:rsidRPr="00091169" w:rsidRDefault="00091169" w:rsidP="00091169">
      <w:pPr>
        <w:widowControl w:val="0"/>
        <w:autoSpaceDE w:val="0"/>
        <w:autoSpaceDN w:val="0"/>
        <w:adjustRightInd w:val="0"/>
        <w:spacing w:after="0" w:line="240" w:lineRule="auto"/>
        <w:rPr>
          <w:rFonts w:ascii="Arial" w:eastAsia="Arial" w:hAnsi="Arial" w:cs="Arial"/>
          <w:color w:val="000000"/>
          <w:sz w:val="24"/>
          <w:szCs w:val="24"/>
          <w:lang w:eastAsia="it-IT" w:bidi="it-IT"/>
        </w:rPr>
      </w:pPr>
    </w:p>
    <w:p w:rsidR="00091169" w:rsidRPr="00091169" w:rsidRDefault="00091169" w:rsidP="00091169">
      <w:pPr>
        <w:widowControl w:val="0"/>
        <w:autoSpaceDE w:val="0"/>
        <w:autoSpaceDN w:val="0"/>
        <w:adjustRightInd w:val="0"/>
        <w:spacing w:after="0" w:line="240" w:lineRule="auto"/>
        <w:jc w:val="center"/>
        <w:rPr>
          <w:rFonts w:ascii="Arial" w:eastAsia="Arial" w:hAnsi="Arial" w:cs="Arial"/>
          <w:b/>
          <w:color w:val="000000"/>
          <w:sz w:val="21"/>
          <w:szCs w:val="21"/>
          <w:lang w:eastAsia="it-IT" w:bidi="it-IT"/>
        </w:rPr>
      </w:pPr>
    </w:p>
    <w:p w:rsidR="00091169" w:rsidRPr="00091169" w:rsidRDefault="00091169" w:rsidP="00091169">
      <w:pPr>
        <w:widowControl w:val="0"/>
        <w:autoSpaceDE w:val="0"/>
        <w:autoSpaceDN w:val="0"/>
        <w:adjustRightInd w:val="0"/>
        <w:spacing w:after="0" w:line="240" w:lineRule="auto"/>
        <w:jc w:val="center"/>
        <w:rPr>
          <w:rFonts w:ascii="Arial" w:eastAsia="Arial" w:hAnsi="Arial" w:cs="Arial"/>
          <w:b/>
          <w:color w:val="000000"/>
          <w:sz w:val="21"/>
          <w:szCs w:val="21"/>
          <w:lang w:eastAsia="it-IT" w:bidi="it-IT"/>
        </w:rPr>
      </w:pPr>
      <w:r w:rsidRPr="00091169">
        <w:rPr>
          <w:rFonts w:ascii="Arial" w:eastAsia="Arial" w:hAnsi="Arial" w:cs="Arial"/>
          <w:b/>
          <w:color w:val="000000"/>
          <w:sz w:val="21"/>
          <w:szCs w:val="21"/>
          <w:lang w:eastAsia="it-IT" w:bidi="it-IT"/>
        </w:rPr>
        <w:t>COMUNICATO STAMPA</w:t>
      </w:r>
    </w:p>
    <w:p w:rsidR="00091169" w:rsidRPr="00091169" w:rsidRDefault="00091169" w:rsidP="00091169">
      <w:pPr>
        <w:widowControl w:val="0"/>
        <w:autoSpaceDE w:val="0"/>
        <w:autoSpaceDN w:val="0"/>
        <w:adjustRightInd w:val="0"/>
        <w:spacing w:after="0" w:line="240" w:lineRule="auto"/>
        <w:jc w:val="center"/>
        <w:rPr>
          <w:rFonts w:ascii="Arial" w:eastAsia="Arial" w:hAnsi="Arial" w:cs="Arial"/>
          <w:color w:val="000000"/>
          <w:sz w:val="21"/>
          <w:szCs w:val="21"/>
          <w:lang w:eastAsia="it-IT" w:bidi="it-IT"/>
        </w:rPr>
      </w:pPr>
    </w:p>
    <w:p w:rsidR="00091169" w:rsidRPr="00091169" w:rsidRDefault="00091169" w:rsidP="00091169">
      <w:pPr>
        <w:widowControl w:val="0"/>
        <w:autoSpaceDE w:val="0"/>
        <w:autoSpaceDN w:val="0"/>
        <w:adjustRightInd w:val="0"/>
        <w:spacing w:after="0" w:line="240" w:lineRule="auto"/>
        <w:jc w:val="center"/>
        <w:rPr>
          <w:rFonts w:ascii="Arial" w:eastAsia="Arial" w:hAnsi="Arial" w:cs="Arial"/>
          <w:color w:val="C45710"/>
          <w:sz w:val="26"/>
          <w:szCs w:val="26"/>
          <w:lang w:eastAsia="it-IT" w:bidi="it-IT"/>
        </w:rPr>
      </w:pPr>
      <w:r w:rsidRPr="00091169">
        <w:rPr>
          <w:rFonts w:ascii="Arial" w:eastAsia="Arial" w:hAnsi="Arial" w:cs="Arial"/>
          <w:b/>
          <w:bCs/>
          <w:color w:val="C45710"/>
          <w:sz w:val="26"/>
          <w:szCs w:val="26"/>
          <w:lang w:eastAsia="it-IT" w:bidi="it-IT"/>
        </w:rPr>
        <w:t>DECRETO SCUOLA, INTESE NON RISPETTATE: AL VIA LA MOBILITAZIONE</w:t>
      </w:r>
    </w:p>
    <w:p w:rsidR="00091169" w:rsidRPr="00091169" w:rsidRDefault="00091169" w:rsidP="00091169">
      <w:pPr>
        <w:widowControl w:val="0"/>
        <w:autoSpaceDE w:val="0"/>
        <w:autoSpaceDN w:val="0"/>
        <w:adjustRightInd w:val="0"/>
        <w:spacing w:after="0" w:line="240" w:lineRule="auto"/>
        <w:jc w:val="center"/>
        <w:rPr>
          <w:rFonts w:ascii="Arial" w:eastAsia="Arial" w:hAnsi="Arial" w:cs="Arial"/>
          <w:b/>
          <w:color w:val="C45710"/>
          <w:sz w:val="20"/>
          <w:szCs w:val="20"/>
          <w:lang w:eastAsia="it-IT" w:bidi="it-IT"/>
        </w:rPr>
      </w:pPr>
      <w:r w:rsidRPr="00091169">
        <w:rPr>
          <w:rFonts w:ascii="Arial" w:eastAsia="Arial" w:hAnsi="Arial" w:cs="Arial"/>
          <w:b/>
          <w:color w:val="C45710"/>
          <w:sz w:val="20"/>
          <w:szCs w:val="20"/>
          <w:lang w:eastAsia="it-IT" w:bidi="it-IT"/>
        </w:rPr>
        <w:t>Esclusi i facenti funzione DSGA, mancano i percorsi abilitanti e la norma sui diplomati magistrali</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Con la pubblicazione del Decreto Legge sulle misure urgenti per la scuola in Gazzetta Ufficiale, constatiamo con rammarico che il Governo disattende gli impegni assunti, prima a Palazzo Chigi nell’aprile scorso, e poi nell’accordo del 1° ottobre con il Ministro dell’Istruzione.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Che siano stati ammessi alla procedura riservata i docenti delle paritarie ai soli fini abilitanti rientra tra le nostre richieste, ma tale modalità non può essere disgiunta da un quadro generale di acquisizione delle abilitazioni per l’insegnamento. Oltretutto il confronto sulle abilitazioni è in stallo. E questo è inaccettabile in quanto concorso straordinario e abilitazioni devono procedere in parallelo: sono aspetti dell’intesa collegati tra loro che non possono essere scissi.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L’apertura al personale delle scuole paritarie non esaurisce la partita dei concorsi abilitanti per gli altri esclusi da inserire in un collegato alla legge di bilancio.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Analogamente bisogna dare seguito all’accordo del 18 ottobre sui diplomati magistrali con la proroga delle previsioni del decreto dignità.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proofErr w:type="gramStart"/>
      <w:r w:rsidRPr="00091169">
        <w:rPr>
          <w:rFonts w:ascii="Arial" w:eastAsia="Arial" w:hAnsi="Arial" w:cs="Arial"/>
          <w:color w:val="000000"/>
          <w:lang w:eastAsia="it-IT" w:bidi="it-IT"/>
        </w:rPr>
        <w:t>E’</w:t>
      </w:r>
      <w:proofErr w:type="gramEnd"/>
      <w:r w:rsidRPr="00091169">
        <w:rPr>
          <w:rFonts w:ascii="Arial" w:eastAsia="Arial" w:hAnsi="Arial" w:cs="Arial"/>
          <w:color w:val="000000"/>
          <w:lang w:eastAsia="it-IT" w:bidi="it-IT"/>
        </w:rPr>
        <w:t xml:space="preserve"> inaccettabile l’esclusione dal concorso riservato per accedere ai posti di DSGA del personale Assistente Amministrativo che ha ricoperto tale incarico nella scuola per almeno tre anni. Una scelta politica inammissibile che non vogliamo pensare sia frutto di qualche improvviso cambio di opinione, magari con motivazioni tecnocratiche per fare venire meno la parola data e scritta.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Aver depennato dal concorso riservato i facenti funzione di DSGA senza il titolo di studio previsto (laurea specifica) è fuori da ogni logica e non riconosce il lavoro del personale. Le motivazioni giuridiche addotte sono inaccettabili, avendo in sé la contraddizione palese per cui i facenti funzione sono ammessi al concorso ordinario e sono esclusi da quello straordinario, che serve proprio a sanare posizioni consolidate da anni di attività in mansioni superiori che hanno permesso e permettono alle scuole di funzionare. Poiché, come abbiamo più volte rappresentato, non basta certo il concorso in via di svolgimento per DSGA a colmare il vuoto di vent’anni di mancata indizione di prove concorsuali, e per non lasciare le scuole prive di direzione amministrativa, ribadiamo il buon diritto di chi ha svolto con merito tale funzione, talora per ben più di otto anni, di avere una prospettiva certa in un percorso riservato.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FLC Cgil, CISL Scuola, UIL Scuola RUA, SNALS </w:t>
      </w:r>
      <w:proofErr w:type="spellStart"/>
      <w:r w:rsidRPr="00091169">
        <w:rPr>
          <w:rFonts w:ascii="Arial" w:eastAsia="Arial" w:hAnsi="Arial" w:cs="Arial"/>
          <w:color w:val="000000"/>
          <w:lang w:eastAsia="it-IT" w:bidi="it-IT"/>
        </w:rPr>
        <w:t>Confsal</w:t>
      </w:r>
      <w:proofErr w:type="spellEnd"/>
      <w:r w:rsidRPr="00091169">
        <w:rPr>
          <w:rFonts w:ascii="Arial" w:eastAsia="Arial" w:hAnsi="Arial" w:cs="Arial"/>
          <w:color w:val="000000"/>
          <w:lang w:eastAsia="it-IT" w:bidi="it-IT"/>
        </w:rPr>
        <w:t xml:space="preserve">, GILDA </w:t>
      </w:r>
      <w:proofErr w:type="spellStart"/>
      <w:r w:rsidRPr="00091169">
        <w:rPr>
          <w:rFonts w:ascii="Arial" w:eastAsia="Arial" w:hAnsi="Arial" w:cs="Arial"/>
          <w:color w:val="000000"/>
          <w:lang w:eastAsia="it-IT" w:bidi="it-IT"/>
        </w:rPr>
        <w:t>Unams</w:t>
      </w:r>
      <w:proofErr w:type="spellEnd"/>
      <w:r w:rsidRPr="00091169">
        <w:rPr>
          <w:rFonts w:ascii="Arial" w:eastAsia="Arial" w:hAnsi="Arial" w:cs="Arial"/>
          <w:color w:val="000000"/>
          <w:lang w:eastAsia="it-IT" w:bidi="it-IT"/>
        </w:rPr>
        <w:t xml:space="preserve"> indicono pertanto la mobilitazione del personale interessato, che si avvia con le assemblee, proseguirà con una manifestazione nazionale da svolgersi nei prossimi giorni davanti alle sedi istituzionali e comporterà le dimissioni dall’incarico di facenti funzione di DSGA. </w:t>
      </w:r>
    </w:p>
    <w:p w:rsidR="00091169" w:rsidRPr="00091169" w:rsidRDefault="00091169" w:rsidP="00091169">
      <w:pPr>
        <w:widowControl w:val="0"/>
        <w:autoSpaceDE w:val="0"/>
        <w:autoSpaceDN w:val="0"/>
        <w:adjustRightInd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 xml:space="preserve">Per queste ragioni non possiamo che chiamare i lavoratori interessati alla </w:t>
      </w:r>
      <w:r w:rsidRPr="00091169">
        <w:rPr>
          <w:rFonts w:ascii="Arial" w:eastAsia="Arial" w:hAnsi="Arial" w:cs="Arial"/>
          <w:b/>
          <w:bCs/>
          <w:color w:val="000000"/>
          <w:lang w:eastAsia="it-IT" w:bidi="it-IT"/>
        </w:rPr>
        <w:t>mobilitazione il prossimo 11 novembre</w:t>
      </w:r>
      <w:r w:rsidRPr="00091169">
        <w:rPr>
          <w:rFonts w:ascii="Arial" w:eastAsia="Arial" w:hAnsi="Arial" w:cs="Arial"/>
          <w:color w:val="000000"/>
          <w:lang w:eastAsia="it-IT" w:bidi="it-IT"/>
        </w:rPr>
        <w:t xml:space="preserve">, con un’iniziativa a Roma nel pomeriggio e diversi presìdi concomitanti in altre città. </w:t>
      </w:r>
    </w:p>
    <w:p w:rsidR="00091169" w:rsidRPr="00091169" w:rsidRDefault="00091169" w:rsidP="00091169">
      <w:pPr>
        <w:widowControl w:val="0"/>
        <w:tabs>
          <w:tab w:val="left" w:pos="426"/>
        </w:tabs>
        <w:autoSpaceDE w:val="0"/>
        <w:autoSpaceDN w:val="0"/>
        <w:spacing w:before="80" w:after="0" w:line="240" w:lineRule="auto"/>
        <w:jc w:val="both"/>
        <w:rPr>
          <w:rFonts w:ascii="Arial" w:eastAsia="Arial" w:hAnsi="Arial" w:cs="Arial"/>
          <w:color w:val="000000"/>
          <w:lang w:eastAsia="it-IT" w:bidi="it-IT"/>
        </w:rPr>
      </w:pPr>
    </w:p>
    <w:p w:rsidR="00091169" w:rsidRPr="00091169" w:rsidRDefault="00091169" w:rsidP="00091169">
      <w:pPr>
        <w:widowControl w:val="0"/>
        <w:tabs>
          <w:tab w:val="left" w:pos="426"/>
        </w:tabs>
        <w:autoSpaceDE w:val="0"/>
        <w:autoSpaceDN w:val="0"/>
        <w:spacing w:before="80" w:after="0" w:line="240" w:lineRule="auto"/>
        <w:jc w:val="both"/>
        <w:rPr>
          <w:rFonts w:ascii="Arial" w:eastAsia="Arial" w:hAnsi="Arial" w:cs="Arial"/>
          <w:color w:val="000000"/>
          <w:lang w:eastAsia="it-IT" w:bidi="it-IT"/>
        </w:rPr>
      </w:pPr>
      <w:r w:rsidRPr="00091169">
        <w:rPr>
          <w:rFonts w:ascii="Arial" w:eastAsia="Arial" w:hAnsi="Arial" w:cs="Arial"/>
          <w:color w:val="000000"/>
          <w:lang w:eastAsia="it-IT" w:bidi="it-IT"/>
        </w:rPr>
        <w:t>Roma, 31 ottobre 2019</w:t>
      </w:r>
    </w:p>
    <w:p w:rsidR="00091169" w:rsidRPr="00091169" w:rsidRDefault="00091169" w:rsidP="00091169">
      <w:pPr>
        <w:widowControl w:val="0"/>
        <w:tabs>
          <w:tab w:val="left" w:pos="426"/>
        </w:tabs>
        <w:autoSpaceDE w:val="0"/>
        <w:autoSpaceDN w:val="0"/>
        <w:spacing w:after="0" w:line="240" w:lineRule="auto"/>
        <w:jc w:val="both"/>
        <w:rPr>
          <w:rFonts w:ascii="Verdana" w:eastAsia="Arial" w:hAnsi="Verdana" w:cs="Arial"/>
          <w:color w:val="000000"/>
          <w:sz w:val="21"/>
          <w:szCs w:val="21"/>
          <w:lang w:eastAsia="it-IT" w:bidi="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7"/>
        <w:gridCol w:w="1927"/>
        <w:gridCol w:w="1928"/>
        <w:gridCol w:w="1928"/>
        <w:gridCol w:w="1928"/>
      </w:tblGrid>
      <w:tr w:rsidR="00091169" w:rsidRPr="00091169" w:rsidTr="00F5238D">
        <w:trPr>
          <w:jc w:val="center"/>
        </w:trPr>
        <w:tc>
          <w:tcPr>
            <w:tcW w:w="1000" w:type="pct"/>
          </w:tcPr>
          <w:p w:rsidR="00091169" w:rsidRPr="00091169" w:rsidRDefault="00091169" w:rsidP="00091169">
            <w:pPr>
              <w:jc w:val="center"/>
              <w:rPr>
                <w:rFonts w:ascii="Arial" w:eastAsia="Arial" w:hAnsi="Arial" w:cs="Arial"/>
                <w:sz w:val="21"/>
                <w:szCs w:val="21"/>
                <w:lang w:eastAsia="it-IT" w:bidi="it-IT"/>
              </w:rPr>
            </w:pPr>
            <w:proofErr w:type="spellStart"/>
            <w:r w:rsidRPr="00091169">
              <w:rPr>
                <w:rFonts w:ascii="Arial" w:eastAsia="Arial" w:hAnsi="Arial" w:cs="Arial"/>
                <w:sz w:val="21"/>
                <w:szCs w:val="21"/>
                <w:lang w:eastAsia="it-IT" w:bidi="it-IT"/>
              </w:rPr>
              <w:t>Flc</w:t>
            </w:r>
            <w:proofErr w:type="spellEnd"/>
            <w:r w:rsidRPr="00091169">
              <w:rPr>
                <w:rFonts w:ascii="Arial" w:eastAsia="Arial" w:hAnsi="Arial" w:cs="Arial"/>
                <w:sz w:val="21"/>
                <w:szCs w:val="21"/>
                <w:lang w:eastAsia="it-IT" w:bidi="it-IT"/>
              </w:rPr>
              <w:t xml:space="preserve"> CGIL</w:t>
            </w:r>
          </w:p>
        </w:tc>
        <w:tc>
          <w:tcPr>
            <w:tcW w:w="1000" w:type="pct"/>
          </w:tcPr>
          <w:p w:rsidR="00091169" w:rsidRPr="00091169" w:rsidRDefault="00091169" w:rsidP="00091169">
            <w:pPr>
              <w:jc w:val="center"/>
              <w:rPr>
                <w:rFonts w:ascii="Arial" w:eastAsia="Arial" w:hAnsi="Arial" w:cs="Arial"/>
                <w:sz w:val="21"/>
                <w:szCs w:val="21"/>
                <w:lang w:eastAsia="it-IT" w:bidi="it-IT"/>
              </w:rPr>
            </w:pPr>
            <w:r w:rsidRPr="00091169">
              <w:rPr>
                <w:rFonts w:ascii="Arial" w:eastAsia="Arial" w:hAnsi="Arial" w:cs="Arial"/>
                <w:sz w:val="21"/>
                <w:szCs w:val="21"/>
                <w:lang w:eastAsia="it-IT" w:bidi="it-IT"/>
              </w:rPr>
              <w:t>CISL FSUR</w:t>
            </w:r>
          </w:p>
        </w:tc>
        <w:tc>
          <w:tcPr>
            <w:tcW w:w="1000" w:type="pct"/>
          </w:tcPr>
          <w:p w:rsidR="00091169" w:rsidRPr="00091169" w:rsidRDefault="00091169" w:rsidP="00091169">
            <w:pPr>
              <w:jc w:val="center"/>
              <w:rPr>
                <w:rFonts w:ascii="Arial" w:eastAsia="Arial" w:hAnsi="Arial" w:cs="Arial"/>
                <w:sz w:val="21"/>
                <w:szCs w:val="21"/>
                <w:lang w:eastAsia="it-IT" w:bidi="it-IT"/>
              </w:rPr>
            </w:pPr>
            <w:r w:rsidRPr="00091169">
              <w:rPr>
                <w:rFonts w:ascii="Arial" w:eastAsia="Arial" w:hAnsi="Arial" w:cs="Arial"/>
                <w:sz w:val="21"/>
                <w:szCs w:val="21"/>
                <w:lang w:eastAsia="it-IT" w:bidi="it-IT"/>
              </w:rPr>
              <w:t xml:space="preserve">UIL </w:t>
            </w:r>
            <w:proofErr w:type="spellStart"/>
            <w:r w:rsidRPr="00091169">
              <w:rPr>
                <w:rFonts w:ascii="Arial" w:eastAsia="Arial" w:hAnsi="Arial" w:cs="Arial"/>
                <w:sz w:val="21"/>
                <w:szCs w:val="21"/>
                <w:lang w:eastAsia="it-IT" w:bidi="it-IT"/>
              </w:rPr>
              <w:t>Scuola</w:t>
            </w:r>
            <w:proofErr w:type="spellEnd"/>
            <w:r w:rsidRPr="00091169">
              <w:rPr>
                <w:rFonts w:ascii="Arial" w:eastAsia="Arial" w:hAnsi="Arial" w:cs="Arial"/>
                <w:sz w:val="21"/>
                <w:szCs w:val="21"/>
                <w:lang w:eastAsia="it-IT" w:bidi="it-IT"/>
              </w:rPr>
              <w:t xml:space="preserve"> </w:t>
            </w:r>
            <w:proofErr w:type="spellStart"/>
            <w:r w:rsidRPr="00091169">
              <w:rPr>
                <w:rFonts w:ascii="Arial" w:eastAsia="Arial" w:hAnsi="Arial" w:cs="Arial"/>
                <w:sz w:val="21"/>
                <w:szCs w:val="21"/>
                <w:lang w:eastAsia="it-IT" w:bidi="it-IT"/>
              </w:rPr>
              <w:t>Rua</w:t>
            </w:r>
            <w:proofErr w:type="spellEnd"/>
          </w:p>
        </w:tc>
        <w:tc>
          <w:tcPr>
            <w:tcW w:w="1000" w:type="pct"/>
          </w:tcPr>
          <w:p w:rsidR="00091169" w:rsidRPr="00091169" w:rsidRDefault="00091169" w:rsidP="00091169">
            <w:pPr>
              <w:jc w:val="center"/>
              <w:rPr>
                <w:rFonts w:ascii="Arial" w:eastAsia="Arial" w:hAnsi="Arial" w:cs="Arial"/>
                <w:sz w:val="21"/>
                <w:szCs w:val="21"/>
                <w:lang w:eastAsia="it-IT" w:bidi="it-IT"/>
              </w:rPr>
            </w:pPr>
            <w:r w:rsidRPr="00091169">
              <w:rPr>
                <w:rFonts w:ascii="Arial" w:eastAsia="Arial" w:hAnsi="Arial" w:cs="Arial"/>
                <w:sz w:val="21"/>
                <w:szCs w:val="21"/>
                <w:lang w:eastAsia="it-IT" w:bidi="it-IT"/>
              </w:rPr>
              <w:t xml:space="preserve">SNALS </w:t>
            </w:r>
            <w:proofErr w:type="spellStart"/>
            <w:r w:rsidRPr="00091169">
              <w:rPr>
                <w:rFonts w:ascii="Arial" w:eastAsia="Arial" w:hAnsi="Arial" w:cs="Arial"/>
                <w:sz w:val="21"/>
                <w:szCs w:val="21"/>
                <w:lang w:eastAsia="it-IT" w:bidi="it-IT"/>
              </w:rPr>
              <w:t>Confsal</w:t>
            </w:r>
            <w:proofErr w:type="spellEnd"/>
          </w:p>
        </w:tc>
        <w:tc>
          <w:tcPr>
            <w:tcW w:w="1000" w:type="pct"/>
          </w:tcPr>
          <w:p w:rsidR="00091169" w:rsidRPr="00091169" w:rsidRDefault="00091169" w:rsidP="00091169">
            <w:pPr>
              <w:jc w:val="center"/>
              <w:rPr>
                <w:rFonts w:ascii="Arial" w:eastAsia="Arial" w:hAnsi="Arial" w:cs="Arial"/>
                <w:sz w:val="21"/>
                <w:szCs w:val="21"/>
                <w:lang w:eastAsia="it-IT" w:bidi="it-IT"/>
              </w:rPr>
            </w:pPr>
            <w:r w:rsidRPr="00091169">
              <w:rPr>
                <w:rFonts w:ascii="Arial" w:eastAsia="Arial" w:hAnsi="Arial" w:cs="Arial"/>
                <w:sz w:val="21"/>
                <w:szCs w:val="21"/>
                <w:lang w:eastAsia="it-IT" w:bidi="it-IT"/>
              </w:rPr>
              <w:t xml:space="preserve">GILDA </w:t>
            </w:r>
            <w:proofErr w:type="spellStart"/>
            <w:r w:rsidRPr="00091169">
              <w:rPr>
                <w:rFonts w:ascii="Arial" w:eastAsia="Arial" w:hAnsi="Arial" w:cs="Arial"/>
                <w:sz w:val="21"/>
                <w:szCs w:val="21"/>
                <w:lang w:eastAsia="it-IT" w:bidi="it-IT"/>
              </w:rPr>
              <w:t>Unams</w:t>
            </w:r>
            <w:proofErr w:type="spellEnd"/>
          </w:p>
        </w:tc>
      </w:tr>
      <w:tr w:rsidR="00091169" w:rsidRPr="00091169" w:rsidTr="00F5238D">
        <w:trPr>
          <w:jc w:val="center"/>
        </w:trPr>
        <w:tc>
          <w:tcPr>
            <w:tcW w:w="1000" w:type="pct"/>
          </w:tcPr>
          <w:p w:rsidR="00091169" w:rsidRPr="00091169" w:rsidRDefault="00091169" w:rsidP="00091169">
            <w:pPr>
              <w:jc w:val="center"/>
              <w:rPr>
                <w:rFonts w:ascii="Arial" w:eastAsia="Arial" w:hAnsi="Arial" w:cs="Arial"/>
                <w:i/>
                <w:sz w:val="21"/>
                <w:szCs w:val="21"/>
                <w:lang w:eastAsia="it-IT" w:bidi="it-IT"/>
              </w:rPr>
            </w:pPr>
            <w:r w:rsidRPr="00091169">
              <w:rPr>
                <w:rFonts w:ascii="Arial" w:eastAsia="Arial" w:hAnsi="Arial" w:cs="Arial"/>
                <w:i/>
                <w:sz w:val="21"/>
                <w:szCs w:val="21"/>
                <w:lang w:eastAsia="it-IT" w:bidi="it-IT"/>
              </w:rPr>
              <w:t xml:space="preserve">Francesco </w:t>
            </w:r>
            <w:proofErr w:type="spellStart"/>
            <w:r w:rsidRPr="00091169">
              <w:rPr>
                <w:rFonts w:ascii="Arial" w:eastAsia="Arial" w:hAnsi="Arial" w:cs="Arial"/>
                <w:i/>
                <w:sz w:val="21"/>
                <w:szCs w:val="21"/>
                <w:lang w:eastAsia="it-IT" w:bidi="it-IT"/>
              </w:rPr>
              <w:t>Sinopoli</w:t>
            </w:r>
            <w:proofErr w:type="spellEnd"/>
          </w:p>
        </w:tc>
        <w:tc>
          <w:tcPr>
            <w:tcW w:w="1000" w:type="pct"/>
          </w:tcPr>
          <w:p w:rsidR="00091169" w:rsidRPr="00091169" w:rsidRDefault="00091169" w:rsidP="00091169">
            <w:pPr>
              <w:jc w:val="center"/>
              <w:rPr>
                <w:rFonts w:ascii="Arial" w:eastAsia="Arial" w:hAnsi="Arial" w:cs="Arial"/>
                <w:i/>
                <w:sz w:val="21"/>
                <w:szCs w:val="21"/>
                <w:lang w:eastAsia="it-IT" w:bidi="it-IT"/>
              </w:rPr>
            </w:pPr>
            <w:r w:rsidRPr="00091169">
              <w:rPr>
                <w:rFonts w:ascii="Arial" w:eastAsia="Arial" w:hAnsi="Arial" w:cs="Arial"/>
                <w:i/>
                <w:sz w:val="21"/>
                <w:szCs w:val="21"/>
                <w:lang w:eastAsia="it-IT" w:bidi="it-IT"/>
              </w:rPr>
              <w:t xml:space="preserve">Maddalena </w:t>
            </w:r>
            <w:proofErr w:type="spellStart"/>
            <w:r w:rsidRPr="00091169">
              <w:rPr>
                <w:rFonts w:ascii="Arial" w:eastAsia="Arial" w:hAnsi="Arial" w:cs="Arial"/>
                <w:i/>
                <w:sz w:val="21"/>
                <w:szCs w:val="21"/>
                <w:lang w:eastAsia="it-IT" w:bidi="it-IT"/>
              </w:rPr>
              <w:t>Gissi</w:t>
            </w:r>
            <w:proofErr w:type="spellEnd"/>
          </w:p>
        </w:tc>
        <w:tc>
          <w:tcPr>
            <w:tcW w:w="1000" w:type="pct"/>
          </w:tcPr>
          <w:p w:rsidR="00091169" w:rsidRPr="00091169" w:rsidRDefault="00091169" w:rsidP="00091169">
            <w:pPr>
              <w:jc w:val="center"/>
              <w:rPr>
                <w:rFonts w:ascii="Arial" w:eastAsia="Arial" w:hAnsi="Arial" w:cs="Arial"/>
                <w:i/>
                <w:sz w:val="21"/>
                <w:szCs w:val="21"/>
                <w:lang w:eastAsia="it-IT" w:bidi="it-IT"/>
              </w:rPr>
            </w:pPr>
            <w:r w:rsidRPr="00091169">
              <w:rPr>
                <w:rFonts w:ascii="Arial" w:eastAsia="Arial" w:hAnsi="Arial" w:cs="Arial"/>
                <w:i/>
                <w:sz w:val="21"/>
                <w:szCs w:val="21"/>
                <w:lang w:eastAsia="it-IT" w:bidi="it-IT"/>
              </w:rPr>
              <w:t xml:space="preserve">Giuseppe </w:t>
            </w:r>
            <w:proofErr w:type="spellStart"/>
            <w:r w:rsidRPr="00091169">
              <w:rPr>
                <w:rFonts w:ascii="Arial" w:eastAsia="Arial" w:hAnsi="Arial" w:cs="Arial"/>
                <w:i/>
                <w:sz w:val="21"/>
                <w:szCs w:val="21"/>
                <w:lang w:eastAsia="it-IT" w:bidi="it-IT"/>
              </w:rPr>
              <w:t>Turi</w:t>
            </w:r>
            <w:proofErr w:type="spellEnd"/>
          </w:p>
        </w:tc>
        <w:tc>
          <w:tcPr>
            <w:tcW w:w="1000" w:type="pct"/>
          </w:tcPr>
          <w:p w:rsidR="00091169" w:rsidRPr="00091169" w:rsidRDefault="00091169" w:rsidP="00091169">
            <w:pPr>
              <w:jc w:val="center"/>
              <w:rPr>
                <w:rFonts w:ascii="Arial" w:eastAsia="Arial" w:hAnsi="Arial" w:cs="Arial"/>
                <w:i/>
                <w:sz w:val="21"/>
                <w:szCs w:val="21"/>
                <w:lang w:eastAsia="it-IT" w:bidi="it-IT"/>
              </w:rPr>
            </w:pPr>
            <w:r w:rsidRPr="00091169">
              <w:rPr>
                <w:rFonts w:ascii="Arial" w:eastAsia="Arial" w:hAnsi="Arial" w:cs="Arial"/>
                <w:i/>
                <w:sz w:val="21"/>
                <w:szCs w:val="21"/>
                <w:lang w:eastAsia="it-IT" w:bidi="it-IT"/>
              </w:rPr>
              <w:t>Elvira Serafini</w:t>
            </w:r>
          </w:p>
        </w:tc>
        <w:tc>
          <w:tcPr>
            <w:tcW w:w="1000" w:type="pct"/>
          </w:tcPr>
          <w:p w:rsidR="00091169" w:rsidRPr="00091169" w:rsidRDefault="00091169" w:rsidP="00091169">
            <w:pPr>
              <w:jc w:val="center"/>
              <w:rPr>
                <w:rFonts w:ascii="Arial" w:eastAsia="Arial" w:hAnsi="Arial" w:cs="Arial"/>
                <w:i/>
                <w:sz w:val="21"/>
                <w:szCs w:val="21"/>
                <w:lang w:eastAsia="it-IT" w:bidi="it-IT"/>
              </w:rPr>
            </w:pPr>
            <w:proofErr w:type="spellStart"/>
            <w:r w:rsidRPr="00091169">
              <w:rPr>
                <w:rFonts w:ascii="Arial" w:eastAsia="Arial" w:hAnsi="Arial" w:cs="Arial"/>
                <w:i/>
                <w:sz w:val="21"/>
                <w:szCs w:val="21"/>
                <w:lang w:eastAsia="it-IT" w:bidi="it-IT"/>
              </w:rPr>
              <w:t>Rino</w:t>
            </w:r>
            <w:proofErr w:type="spellEnd"/>
            <w:r w:rsidRPr="00091169">
              <w:rPr>
                <w:rFonts w:ascii="Arial" w:eastAsia="Arial" w:hAnsi="Arial" w:cs="Arial"/>
                <w:i/>
                <w:sz w:val="21"/>
                <w:szCs w:val="21"/>
                <w:lang w:eastAsia="it-IT" w:bidi="it-IT"/>
              </w:rPr>
              <w:t xml:space="preserve"> Di </w:t>
            </w:r>
            <w:proofErr w:type="spellStart"/>
            <w:r w:rsidRPr="00091169">
              <w:rPr>
                <w:rFonts w:ascii="Arial" w:eastAsia="Arial" w:hAnsi="Arial" w:cs="Arial"/>
                <w:i/>
                <w:sz w:val="21"/>
                <w:szCs w:val="21"/>
                <w:lang w:eastAsia="it-IT" w:bidi="it-IT"/>
              </w:rPr>
              <w:t>Meglio</w:t>
            </w:r>
            <w:proofErr w:type="spellEnd"/>
          </w:p>
        </w:tc>
      </w:tr>
    </w:tbl>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69"/>
    <w:rsid w:val="00091169"/>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460C3-3868-49DE-87B1-510D56C1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9116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2019-11-10T09:26:00Z</dcterms:created>
  <dcterms:modified xsi:type="dcterms:W3CDTF">2019-11-10T09:27:00Z</dcterms:modified>
</cp:coreProperties>
</file>