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2BD" w:rsidRPr="007732BD" w:rsidRDefault="007732BD" w:rsidP="007732BD">
      <w:pPr>
        <w:autoSpaceDE w:val="0"/>
        <w:autoSpaceDN w:val="0"/>
        <w:adjustRightInd w:val="0"/>
        <w:spacing w:after="0" w:line="240" w:lineRule="auto"/>
        <w:jc w:val="center"/>
        <w:rPr>
          <w:rFonts w:ascii="Calibri" w:eastAsia="Calibri" w:hAnsi="Calibri" w:cs="Calibri"/>
          <w:color w:val="000000"/>
          <w:sz w:val="24"/>
          <w:szCs w:val="24"/>
        </w:rPr>
      </w:pPr>
      <w:r w:rsidRPr="007732BD">
        <w:rPr>
          <w:rFonts w:ascii="Arial" w:eastAsia="Times New Roman" w:hAnsi="Arial" w:cs="Arial"/>
          <w:noProof/>
          <w:color w:val="000000"/>
          <w:sz w:val="20"/>
          <w:szCs w:val="20"/>
          <w:lang w:eastAsia="it-IT"/>
        </w:rPr>
        <w:drawing>
          <wp:inline distT="0" distB="0" distL="0" distR="0" wp14:anchorId="4104DFC9" wp14:editId="730A07EB">
            <wp:extent cx="5715000" cy="6953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695325"/>
                    </a:xfrm>
                    <a:prstGeom prst="rect">
                      <a:avLst/>
                    </a:prstGeom>
                    <a:noFill/>
                    <a:ln>
                      <a:noFill/>
                    </a:ln>
                  </pic:spPr>
                </pic:pic>
              </a:graphicData>
            </a:graphic>
          </wp:inline>
        </w:drawing>
      </w:r>
    </w:p>
    <w:p w:rsidR="007732BD" w:rsidRPr="007732BD" w:rsidRDefault="007732BD" w:rsidP="007732BD">
      <w:pPr>
        <w:autoSpaceDE w:val="0"/>
        <w:autoSpaceDN w:val="0"/>
        <w:adjustRightInd w:val="0"/>
        <w:spacing w:after="0" w:line="240" w:lineRule="auto"/>
        <w:rPr>
          <w:rFonts w:ascii="Calibri" w:eastAsia="Calibri" w:hAnsi="Calibri" w:cs="Calibri"/>
          <w:color w:val="000000"/>
          <w:sz w:val="24"/>
          <w:szCs w:val="24"/>
        </w:rPr>
      </w:pPr>
    </w:p>
    <w:p w:rsidR="007732BD" w:rsidRPr="007732BD" w:rsidRDefault="007732BD" w:rsidP="007732BD">
      <w:pPr>
        <w:autoSpaceDE w:val="0"/>
        <w:autoSpaceDN w:val="0"/>
        <w:adjustRightInd w:val="0"/>
        <w:spacing w:after="0" w:line="240" w:lineRule="auto"/>
        <w:jc w:val="right"/>
        <w:rPr>
          <w:rFonts w:ascii="Arial" w:eastAsia="Calibri" w:hAnsi="Arial" w:cs="Arial"/>
          <w:color w:val="000000"/>
          <w:sz w:val="20"/>
          <w:szCs w:val="20"/>
        </w:rPr>
      </w:pPr>
      <w:r w:rsidRPr="007732BD">
        <w:rPr>
          <w:rFonts w:ascii="Arial" w:eastAsia="Calibri" w:hAnsi="Arial" w:cs="Arial"/>
          <w:color w:val="000000"/>
          <w:sz w:val="20"/>
          <w:szCs w:val="20"/>
        </w:rPr>
        <w:t xml:space="preserve"> Prot. 30-unit. </w:t>
      </w:r>
    </w:p>
    <w:p w:rsidR="007732BD" w:rsidRPr="007732BD" w:rsidRDefault="007732BD" w:rsidP="007732BD">
      <w:pPr>
        <w:autoSpaceDE w:val="0"/>
        <w:autoSpaceDN w:val="0"/>
        <w:adjustRightInd w:val="0"/>
        <w:spacing w:after="0" w:line="240" w:lineRule="auto"/>
        <w:ind w:left="567"/>
        <w:jc w:val="both"/>
        <w:rPr>
          <w:rFonts w:ascii="Arial" w:eastAsia="Calibri" w:hAnsi="Arial" w:cs="Arial"/>
          <w:color w:val="000000"/>
          <w:sz w:val="20"/>
          <w:szCs w:val="20"/>
        </w:rPr>
      </w:pPr>
      <w:r w:rsidRPr="007732BD">
        <w:rPr>
          <w:rFonts w:ascii="Arial" w:eastAsia="Calibri" w:hAnsi="Arial" w:cs="Arial"/>
          <w:color w:val="000000"/>
          <w:sz w:val="20"/>
          <w:szCs w:val="20"/>
        </w:rPr>
        <w:t xml:space="preserve">On. Lucia Azzolina </w:t>
      </w:r>
    </w:p>
    <w:p w:rsidR="007732BD" w:rsidRPr="007732BD" w:rsidRDefault="007732BD" w:rsidP="007732BD">
      <w:pPr>
        <w:autoSpaceDE w:val="0"/>
        <w:autoSpaceDN w:val="0"/>
        <w:adjustRightInd w:val="0"/>
        <w:spacing w:after="0" w:line="240" w:lineRule="auto"/>
        <w:ind w:left="567"/>
        <w:jc w:val="both"/>
        <w:rPr>
          <w:rFonts w:ascii="Arial" w:eastAsia="Calibri" w:hAnsi="Arial" w:cs="Arial"/>
          <w:color w:val="000000"/>
          <w:sz w:val="20"/>
          <w:szCs w:val="20"/>
        </w:rPr>
      </w:pPr>
      <w:r w:rsidRPr="007732BD">
        <w:rPr>
          <w:rFonts w:ascii="Arial" w:eastAsia="Calibri" w:hAnsi="Arial" w:cs="Arial"/>
          <w:color w:val="000000"/>
          <w:sz w:val="20"/>
          <w:szCs w:val="20"/>
        </w:rPr>
        <w:t xml:space="preserve">Ministra dell’Istruzione </w:t>
      </w:r>
    </w:p>
    <w:p w:rsidR="007732BD" w:rsidRPr="007732BD" w:rsidRDefault="007732BD" w:rsidP="007732BD">
      <w:pPr>
        <w:autoSpaceDE w:val="0"/>
        <w:autoSpaceDN w:val="0"/>
        <w:adjustRightInd w:val="0"/>
        <w:spacing w:after="0" w:line="240" w:lineRule="auto"/>
        <w:ind w:left="142"/>
        <w:jc w:val="both"/>
        <w:rPr>
          <w:rFonts w:ascii="Arial" w:eastAsia="Calibri" w:hAnsi="Arial" w:cs="Arial"/>
          <w:color w:val="000000"/>
          <w:sz w:val="20"/>
          <w:szCs w:val="20"/>
        </w:rPr>
      </w:pPr>
      <w:r w:rsidRPr="007732BD">
        <w:rPr>
          <w:rFonts w:ascii="Arial" w:eastAsia="Calibri" w:hAnsi="Arial" w:cs="Arial"/>
          <w:color w:val="000000"/>
          <w:sz w:val="20"/>
          <w:szCs w:val="20"/>
        </w:rPr>
        <w:t xml:space="preserve">p.c.  dott. Marco Bruschi </w:t>
      </w:r>
    </w:p>
    <w:p w:rsidR="007732BD" w:rsidRPr="007732BD" w:rsidRDefault="007732BD" w:rsidP="007732BD">
      <w:pPr>
        <w:autoSpaceDE w:val="0"/>
        <w:autoSpaceDN w:val="0"/>
        <w:adjustRightInd w:val="0"/>
        <w:spacing w:after="0" w:line="240" w:lineRule="auto"/>
        <w:ind w:left="567"/>
        <w:jc w:val="both"/>
        <w:rPr>
          <w:rFonts w:ascii="Arial" w:eastAsia="Calibri" w:hAnsi="Arial" w:cs="Arial"/>
          <w:color w:val="000000"/>
          <w:sz w:val="20"/>
          <w:szCs w:val="20"/>
        </w:rPr>
      </w:pPr>
      <w:r w:rsidRPr="007732BD">
        <w:rPr>
          <w:rFonts w:ascii="Arial" w:eastAsia="Calibri" w:hAnsi="Arial" w:cs="Arial"/>
          <w:color w:val="000000"/>
          <w:sz w:val="20"/>
          <w:szCs w:val="20"/>
        </w:rPr>
        <w:t xml:space="preserve">Capo Dipartimento per il sistema educativo di istruzione e formazione </w:t>
      </w:r>
    </w:p>
    <w:p w:rsidR="007732BD" w:rsidRPr="007732BD" w:rsidRDefault="007732BD" w:rsidP="007732BD">
      <w:pPr>
        <w:autoSpaceDE w:val="0"/>
        <w:autoSpaceDN w:val="0"/>
        <w:adjustRightInd w:val="0"/>
        <w:spacing w:after="0" w:line="240" w:lineRule="auto"/>
        <w:jc w:val="both"/>
        <w:rPr>
          <w:rFonts w:ascii="Arial" w:eastAsia="Calibri" w:hAnsi="Arial" w:cs="Arial"/>
          <w:color w:val="000000"/>
          <w:sz w:val="20"/>
          <w:szCs w:val="20"/>
        </w:rPr>
      </w:pPr>
    </w:p>
    <w:p w:rsidR="007732BD" w:rsidRPr="007732BD" w:rsidRDefault="007732BD" w:rsidP="007732BD">
      <w:pPr>
        <w:autoSpaceDE w:val="0"/>
        <w:autoSpaceDN w:val="0"/>
        <w:adjustRightInd w:val="0"/>
        <w:spacing w:after="0" w:line="240" w:lineRule="auto"/>
        <w:jc w:val="both"/>
        <w:rPr>
          <w:rFonts w:ascii="Arial" w:eastAsia="Calibri" w:hAnsi="Arial" w:cs="Arial"/>
          <w:color w:val="000000"/>
          <w:sz w:val="20"/>
          <w:szCs w:val="20"/>
        </w:rPr>
      </w:pPr>
    </w:p>
    <w:p w:rsidR="007732BD" w:rsidRPr="007732BD" w:rsidRDefault="007732BD" w:rsidP="007732BD">
      <w:pPr>
        <w:tabs>
          <w:tab w:val="left" w:pos="993"/>
        </w:tabs>
        <w:autoSpaceDE w:val="0"/>
        <w:autoSpaceDN w:val="0"/>
        <w:adjustRightInd w:val="0"/>
        <w:spacing w:after="0" w:line="240" w:lineRule="auto"/>
        <w:ind w:left="993" w:hanging="993"/>
        <w:jc w:val="both"/>
        <w:rPr>
          <w:rFonts w:ascii="Arial" w:eastAsia="Calibri" w:hAnsi="Arial" w:cs="Arial"/>
          <w:b/>
          <w:bCs/>
          <w:color w:val="000000"/>
          <w:sz w:val="20"/>
          <w:szCs w:val="20"/>
        </w:rPr>
      </w:pPr>
      <w:r w:rsidRPr="007732BD">
        <w:rPr>
          <w:rFonts w:ascii="Arial" w:eastAsia="Calibri" w:hAnsi="Arial" w:cs="Arial"/>
          <w:b/>
          <w:bCs/>
          <w:color w:val="000000"/>
          <w:sz w:val="20"/>
          <w:szCs w:val="20"/>
        </w:rPr>
        <w:t xml:space="preserve">Oggetto: </w:t>
      </w:r>
      <w:r w:rsidRPr="007732BD">
        <w:rPr>
          <w:rFonts w:ascii="Arial" w:eastAsia="Calibri" w:hAnsi="Arial" w:cs="Arial"/>
          <w:b/>
          <w:bCs/>
          <w:color w:val="000000"/>
          <w:sz w:val="20"/>
          <w:szCs w:val="20"/>
        </w:rPr>
        <w:tab/>
      </w:r>
      <w:bookmarkStart w:id="0" w:name="_Hlk35449624"/>
      <w:r w:rsidRPr="007732BD">
        <w:rPr>
          <w:rFonts w:ascii="Arial" w:eastAsia="Calibri" w:hAnsi="Arial" w:cs="Arial"/>
          <w:b/>
          <w:bCs/>
          <w:color w:val="000000"/>
          <w:sz w:val="20"/>
          <w:szCs w:val="20"/>
        </w:rPr>
        <w:t xml:space="preserve">richiesta ritiro nota </w:t>
      </w:r>
      <w:bookmarkEnd w:id="0"/>
      <w:r w:rsidRPr="007732BD">
        <w:rPr>
          <w:rFonts w:ascii="Arial" w:eastAsia="Calibri" w:hAnsi="Arial" w:cs="Arial"/>
          <w:b/>
          <w:bCs/>
          <w:color w:val="000000"/>
          <w:sz w:val="20"/>
          <w:szCs w:val="20"/>
        </w:rPr>
        <w:t xml:space="preserve">prot.388 del 17/3/2020 “Emergenza sanitaria di nuovo Coronavirus. Prime indicazioni operative per le attività di didattica a distanza” </w:t>
      </w:r>
    </w:p>
    <w:p w:rsidR="007732BD" w:rsidRPr="007732BD" w:rsidRDefault="007732BD" w:rsidP="007732BD">
      <w:pPr>
        <w:autoSpaceDE w:val="0"/>
        <w:autoSpaceDN w:val="0"/>
        <w:adjustRightInd w:val="0"/>
        <w:spacing w:after="0" w:line="240" w:lineRule="auto"/>
        <w:jc w:val="both"/>
        <w:rPr>
          <w:rFonts w:ascii="Arial" w:eastAsia="Calibri" w:hAnsi="Arial" w:cs="Arial"/>
          <w:color w:val="000000"/>
          <w:sz w:val="20"/>
          <w:szCs w:val="20"/>
        </w:rPr>
      </w:pPr>
    </w:p>
    <w:p w:rsidR="007732BD" w:rsidRPr="007732BD" w:rsidRDefault="007732BD" w:rsidP="007732BD">
      <w:pPr>
        <w:autoSpaceDE w:val="0"/>
        <w:autoSpaceDN w:val="0"/>
        <w:adjustRightInd w:val="0"/>
        <w:spacing w:after="0" w:line="240" w:lineRule="auto"/>
        <w:jc w:val="both"/>
        <w:rPr>
          <w:rFonts w:ascii="Arial" w:eastAsia="Calibri" w:hAnsi="Arial" w:cs="Arial"/>
          <w:color w:val="000000"/>
          <w:sz w:val="20"/>
          <w:szCs w:val="20"/>
        </w:rPr>
      </w:pPr>
      <w:r w:rsidRPr="007732BD">
        <w:rPr>
          <w:rFonts w:ascii="Arial" w:eastAsia="Calibri" w:hAnsi="Arial" w:cs="Arial"/>
          <w:color w:val="000000"/>
          <w:sz w:val="20"/>
          <w:szCs w:val="20"/>
        </w:rPr>
        <w:t>Relativamente all’oggetto, le sottoscritte Organizzazioni Sindacali chiedono che la nota contenente “</w:t>
      </w:r>
      <w:r w:rsidRPr="007732BD">
        <w:rPr>
          <w:rFonts w:ascii="Arial" w:eastAsia="Calibri" w:hAnsi="Arial" w:cs="Arial"/>
          <w:b/>
          <w:bCs/>
          <w:color w:val="000000"/>
          <w:sz w:val="20"/>
          <w:szCs w:val="20"/>
        </w:rPr>
        <w:t>Prime indicazioni operative per le attività di didattica a distanza</w:t>
      </w:r>
      <w:r w:rsidRPr="007732BD">
        <w:rPr>
          <w:rFonts w:ascii="Arial" w:eastAsia="Calibri" w:hAnsi="Arial" w:cs="Arial"/>
          <w:color w:val="000000"/>
          <w:sz w:val="20"/>
          <w:szCs w:val="20"/>
        </w:rPr>
        <w:t xml:space="preserve">” sia immediatamente ritirata perché contenente modalità di organizzazione del lavoro che sono oggetto di relazioni sindacali. </w:t>
      </w:r>
    </w:p>
    <w:p w:rsidR="007732BD" w:rsidRPr="007732BD" w:rsidRDefault="007732BD" w:rsidP="007732BD">
      <w:pPr>
        <w:autoSpaceDE w:val="0"/>
        <w:autoSpaceDN w:val="0"/>
        <w:adjustRightInd w:val="0"/>
        <w:spacing w:after="0" w:line="240" w:lineRule="auto"/>
        <w:jc w:val="both"/>
        <w:rPr>
          <w:rFonts w:ascii="Arial" w:eastAsia="Calibri" w:hAnsi="Arial" w:cs="Arial"/>
          <w:color w:val="000000"/>
          <w:sz w:val="20"/>
          <w:szCs w:val="20"/>
        </w:rPr>
      </w:pPr>
      <w:r w:rsidRPr="007732BD">
        <w:rPr>
          <w:rFonts w:ascii="Arial" w:eastAsia="Calibri" w:hAnsi="Arial" w:cs="Arial"/>
          <w:color w:val="000000"/>
          <w:sz w:val="20"/>
          <w:szCs w:val="20"/>
        </w:rPr>
        <w:t xml:space="preserve">Le Organizzazioni Sindacali ritengono inoltre che la nota non risponda all’attuale configurazione normativa né allo stato di emergenza che stiamo vivendo: in questo momento straordinario in cui il Governo ha decretato la sospensione delle attività didattiche, l’attivazione della didattica a distanza non può limitarsi a replicare contenuti e modalità tipiche di una situazione di normalità. Quanto a controlli, valutazioni ed esami, andrebbe considerato con la dovuta attenzione che si tratta di attività comportanti per loro natura un carico di stress che nella presente situazione occorrerebbe quanto più possibile attenuare per tutti (alunni, famiglie, docenti, dirigenti). </w:t>
      </w:r>
    </w:p>
    <w:p w:rsidR="007732BD" w:rsidRPr="007732BD" w:rsidRDefault="007732BD" w:rsidP="007732BD">
      <w:pPr>
        <w:autoSpaceDE w:val="0"/>
        <w:autoSpaceDN w:val="0"/>
        <w:adjustRightInd w:val="0"/>
        <w:spacing w:after="0" w:line="240" w:lineRule="auto"/>
        <w:jc w:val="both"/>
        <w:rPr>
          <w:rFonts w:ascii="Arial" w:eastAsia="Calibri" w:hAnsi="Arial" w:cs="Arial"/>
          <w:color w:val="000000"/>
          <w:sz w:val="20"/>
          <w:szCs w:val="20"/>
        </w:rPr>
      </w:pPr>
      <w:r w:rsidRPr="007732BD">
        <w:rPr>
          <w:rFonts w:ascii="Arial" w:eastAsia="Calibri" w:hAnsi="Arial" w:cs="Arial"/>
          <w:color w:val="000000"/>
          <w:sz w:val="20"/>
          <w:szCs w:val="20"/>
        </w:rPr>
        <w:t xml:space="preserve">Le modalità individuate dalla nota come riproduzione in remoto delle attività ordinaria, oltre ad apparire illegittime e inapplicabili, richiedono inoltre, implicitamente ed esplicitamente, che sia i docenti sia gli alunni possano accedere, in modo generalizzato, a connessioni internet con strumenti software e hardware adeguati, cosa che non può certamente darsi per scontata, né il Ministero si è preoccupato di verificare almeno sommariamente la reale disponibilità delle strumentazioni idonee prima di impartire le indicazioni. </w:t>
      </w:r>
    </w:p>
    <w:p w:rsidR="007732BD" w:rsidRPr="007732BD" w:rsidRDefault="007732BD" w:rsidP="007732BD">
      <w:pPr>
        <w:autoSpaceDE w:val="0"/>
        <w:autoSpaceDN w:val="0"/>
        <w:adjustRightInd w:val="0"/>
        <w:spacing w:after="0" w:line="240" w:lineRule="auto"/>
        <w:jc w:val="both"/>
        <w:rPr>
          <w:rFonts w:ascii="Arial" w:eastAsia="Calibri" w:hAnsi="Arial" w:cs="Arial"/>
          <w:color w:val="000000"/>
          <w:sz w:val="20"/>
          <w:szCs w:val="20"/>
        </w:rPr>
      </w:pPr>
      <w:r w:rsidRPr="007732BD">
        <w:rPr>
          <w:rFonts w:ascii="Arial" w:eastAsia="Calibri" w:hAnsi="Arial" w:cs="Arial"/>
          <w:color w:val="000000"/>
          <w:sz w:val="20"/>
          <w:szCs w:val="20"/>
        </w:rPr>
        <w:t xml:space="preserve">Pertanto le sottoscritte Organizzazioni Sindacali chiedono di essere urgentemente convocate per un confronto da svolgersi con modalità on line sulle materie sopra esposte, nella convinzione che l’esigenza attualmente pressante di favorire il massimo di condivisione e cooperazione per reggere efficacemente una situazione di straordinaria emergenza possa essere sostenuta anche attraverso un positivo svolgimento delle relazioni sindacali. Sarebbe infine quanto mai auspicabile tenere conto dell’impegno già oggi messo in campo da quanti (docenti, </w:t>
      </w:r>
      <w:proofErr w:type="spellStart"/>
      <w:r w:rsidRPr="007732BD">
        <w:rPr>
          <w:rFonts w:ascii="Arial" w:eastAsia="Calibri" w:hAnsi="Arial" w:cs="Arial"/>
          <w:color w:val="000000"/>
          <w:sz w:val="20"/>
          <w:szCs w:val="20"/>
        </w:rPr>
        <w:t>ata</w:t>
      </w:r>
      <w:proofErr w:type="spellEnd"/>
      <w:r w:rsidRPr="007732BD">
        <w:rPr>
          <w:rFonts w:ascii="Arial" w:eastAsia="Calibri" w:hAnsi="Arial" w:cs="Arial"/>
          <w:color w:val="000000"/>
          <w:sz w:val="20"/>
          <w:szCs w:val="20"/>
        </w:rPr>
        <w:t xml:space="preserve">, educatori, dirigenti, alunni e famiglie) si stanno prodigando, oltre ogni limite e con ogni strumento possibile, per rendere concretamente viva e operante la comunità scolastica in un quadro di così pesanti difficoltà. </w:t>
      </w:r>
    </w:p>
    <w:p w:rsidR="007732BD" w:rsidRPr="007732BD" w:rsidRDefault="007732BD" w:rsidP="007732BD">
      <w:pPr>
        <w:autoSpaceDE w:val="0"/>
        <w:autoSpaceDN w:val="0"/>
        <w:adjustRightInd w:val="0"/>
        <w:spacing w:after="0" w:line="240" w:lineRule="auto"/>
        <w:jc w:val="both"/>
        <w:rPr>
          <w:rFonts w:ascii="Arial" w:eastAsia="Calibri" w:hAnsi="Arial" w:cs="Arial"/>
          <w:color w:val="000000"/>
          <w:sz w:val="20"/>
          <w:szCs w:val="20"/>
        </w:rPr>
      </w:pPr>
      <w:r w:rsidRPr="007732BD">
        <w:rPr>
          <w:rFonts w:ascii="Arial" w:eastAsia="Calibri" w:hAnsi="Arial" w:cs="Arial"/>
          <w:color w:val="000000"/>
          <w:sz w:val="20"/>
          <w:szCs w:val="20"/>
        </w:rPr>
        <w:t>Roma, 18 marzo 2020</w:t>
      </w:r>
    </w:p>
    <w:p w:rsidR="007732BD" w:rsidRPr="007732BD" w:rsidRDefault="007732BD" w:rsidP="007732BD">
      <w:pPr>
        <w:autoSpaceDE w:val="0"/>
        <w:autoSpaceDN w:val="0"/>
        <w:adjustRightInd w:val="0"/>
        <w:spacing w:after="0" w:line="240" w:lineRule="auto"/>
        <w:jc w:val="both"/>
        <w:rPr>
          <w:rFonts w:ascii="Arial" w:eastAsia="Calibri" w:hAnsi="Arial" w:cs="Arial"/>
          <w:color w:val="000000"/>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945"/>
        <w:gridCol w:w="1945"/>
        <w:gridCol w:w="1945"/>
        <w:gridCol w:w="1945"/>
        <w:gridCol w:w="1945"/>
      </w:tblGrid>
      <w:tr w:rsidR="007732BD" w:rsidRPr="007732BD" w:rsidTr="001C4224">
        <w:trPr>
          <w:trHeight w:val="199"/>
        </w:trPr>
        <w:tc>
          <w:tcPr>
            <w:tcW w:w="1945" w:type="dxa"/>
          </w:tcPr>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proofErr w:type="spellStart"/>
            <w:r w:rsidRPr="007732BD">
              <w:rPr>
                <w:rFonts w:ascii="Arial" w:eastAsia="Calibri" w:hAnsi="Arial" w:cs="Arial"/>
                <w:color w:val="000000"/>
                <w:sz w:val="20"/>
                <w:szCs w:val="20"/>
              </w:rPr>
              <w:t>Flc</w:t>
            </w:r>
            <w:proofErr w:type="spellEnd"/>
            <w:r w:rsidRPr="007732BD">
              <w:rPr>
                <w:rFonts w:ascii="Arial" w:eastAsia="Calibri" w:hAnsi="Arial" w:cs="Arial"/>
                <w:color w:val="000000"/>
                <w:sz w:val="20"/>
                <w:szCs w:val="20"/>
              </w:rPr>
              <w:t xml:space="preserve"> CGIL</w:t>
            </w:r>
          </w:p>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r w:rsidRPr="007732BD">
              <w:rPr>
                <w:rFonts w:ascii="Arial" w:eastAsia="Calibri" w:hAnsi="Arial" w:cs="Arial"/>
                <w:i/>
                <w:iCs/>
                <w:color w:val="000000"/>
                <w:sz w:val="20"/>
                <w:szCs w:val="20"/>
              </w:rPr>
              <w:t>Francesco Sinopoli</w:t>
            </w:r>
          </w:p>
        </w:tc>
        <w:tc>
          <w:tcPr>
            <w:tcW w:w="1945" w:type="dxa"/>
          </w:tcPr>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r w:rsidRPr="007732BD">
              <w:rPr>
                <w:rFonts w:ascii="Arial" w:eastAsia="Calibri" w:hAnsi="Arial" w:cs="Arial"/>
                <w:color w:val="000000"/>
                <w:sz w:val="20"/>
                <w:szCs w:val="20"/>
              </w:rPr>
              <w:t>CISL Scuola</w:t>
            </w:r>
          </w:p>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r w:rsidRPr="007732BD">
              <w:rPr>
                <w:rFonts w:ascii="Arial" w:eastAsia="Calibri" w:hAnsi="Arial" w:cs="Arial"/>
                <w:i/>
                <w:iCs/>
                <w:color w:val="000000"/>
                <w:sz w:val="20"/>
                <w:szCs w:val="20"/>
              </w:rPr>
              <w:t>Maddalena Gissi</w:t>
            </w:r>
          </w:p>
        </w:tc>
        <w:tc>
          <w:tcPr>
            <w:tcW w:w="1945" w:type="dxa"/>
          </w:tcPr>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r w:rsidRPr="007732BD">
              <w:rPr>
                <w:rFonts w:ascii="Arial" w:eastAsia="Calibri" w:hAnsi="Arial" w:cs="Arial"/>
                <w:color w:val="000000"/>
                <w:sz w:val="20"/>
                <w:szCs w:val="20"/>
              </w:rPr>
              <w:t>UIL Scuola Rua</w:t>
            </w:r>
          </w:p>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r w:rsidRPr="007732BD">
              <w:rPr>
                <w:rFonts w:ascii="Arial" w:eastAsia="Calibri" w:hAnsi="Arial" w:cs="Arial"/>
                <w:i/>
                <w:iCs/>
                <w:color w:val="000000"/>
                <w:sz w:val="20"/>
                <w:szCs w:val="20"/>
              </w:rPr>
              <w:t>Giuseppe Turi</w:t>
            </w:r>
          </w:p>
        </w:tc>
        <w:tc>
          <w:tcPr>
            <w:tcW w:w="1945" w:type="dxa"/>
          </w:tcPr>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r w:rsidRPr="007732BD">
              <w:rPr>
                <w:rFonts w:ascii="Arial" w:eastAsia="Calibri" w:hAnsi="Arial" w:cs="Arial"/>
                <w:color w:val="000000"/>
                <w:sz w:val="20"/>
                <w:szCs w:val="20"/>
              </w:rPr>
              <w:t xml:space="preserve">SNALS </w:t>
            </w:r>
            <w:proofErr w:type="spellStart"/>
            <w:r w:rsidRPr="007732BD">
              <w:rPr>
                <w:rFonts w:ascii="Arial" w:eastAsia="Calibri" w:hAnsi="Arial" w:cs="Arial"/>
                <w:color w:val="000000"/>
                <w:sz w:val="20"/>
                <w:szCs w:val="20"/>
              </w:rPr>
              <w:t>Confsal</w:t>
            </w:r>
            <w:proofErr w:type="spellEnd"/>
          </w:p>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r w:rsidRPr="007732BD">
              <w:rPr>
                <w:rFonts w:ascii="Arial" w:eastAsia="Calibri" w:hAnsi="Arial" w:cs="Arial"/>
                <w:i/>
                <w:iCs/>
                <w:color w:val="000000"/>
                <w:sz w:val="20"/>
                <w:szCs w:val="20"/>
              </w:rPr>
              <w:t>Elvira Serafini</w:t>
            </w:r>
          </w:p>
        </w:tc>
        <w:tc>
          <w:tcPr>
            <w:tcW w:w="1945" w:type="dxa"/>
          </w:tcPr>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r w:rsidRPr="007732BD">
              <w:rPr>
                <w:rFonts w:ascii="Arial" w:eastAsia="Calibri" w:hAnsi="Arial" w:cs="Arial"/>
                <w:color w:val="000000"/>
                <w:sz w:val="20"/>
                <w:szCs w:val="20"/>
              </w:rPr>
              <w:t xml:space="preserve">GILDA </w:t>
            </w:r>
            <w:proofErr w:type="spellStart"/>
            <w:r w:rsidRPr="007732BD">
              <w:rPr>
                <w:rFonts w:ascii="Arial" w:eastAsia="Calibri" w:hAnsi="Arial" w:cs="Arial"/>
                <w:color w:val="000000"/>
                <w:sz w:val="20"/>
                <w:szCs w:val="20"/>
              </w:rPr>
              <w:t>Unams</w:t>
            </w:r>
            <w:proofErr w:type="spellEnd"/>
          </w:p>
          <w:p w:rsidR="007732BD" w:rsidRPr="007732BD" w:rsidRDefault="007732BD" w:rsidP="007732BD">
            <w:pPr>
              <w:autoSpaceDE w:val="0"/>
              <w:autoSpaceDN w:val="0"/>
              <w:adjustRightInd w:val="0"/>
              <w:spacing w:after="0" w:line="240" w:lineRule="auto"/>
              <w:jc w:val="center"/>
              <w:rPr>
                <w:rFonts w:ascii="Arial" w:eastAsia="Calibri" w:hAnsi="Arial" w:cs="Arial"/>
                <w:color w:val="000000"/>
                <w:sz w:val="20"/>
                <w:szCs w:val="20"/>
              </w:rPr>
            </w:pPr>
            <w:r w:rsidRPr="007732BD">
              <w:rPr>
                <w:rFonts w:ascii="Arial" w:eastAsia="Calibri" w:hAnsi="Arial" w:cs="Arial"/>
                <w:i/>
                <w:iCs/>
                <w:color w:val="000000"/>
                <w:sz w:val="20"/>
                <w:szCs w:val="20"/>
              </w:rPr>
              <w:t>Rino Di Meglio</w:t>
            </w:r>
          </w:p>
        </w:tc>
      </w:tr>
    </w:tbl>
    <w:p w:rsidR="007732BD" w:rsidRPr="007732BD" w:rsidRDefault="007732BD" w:rsidP="007732BD">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7732BD" w:rsidRPr="007732BD" w:rsidRDefault="007732BD" w:rsidP="007732BD">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7732BD" w:rsidRPr="007732BD" w:rsidRDefault="007732BD" w:rsidP="007732BD">
      <w:pPr>
        <w:widowControl w:val="0"/>
        <w:tabs>
          <w:tab w:val="left" w:pos="426"/>
        </w:tabs>
        <w:autoSpaceDE w:val="0"/>
        <w:autoSpaceDN w:val="0"/>
        <w:spacing w:after="0" w:line="240" w:lineRule="auto"/>
        <w:jc w:val="both"/>
        <w:rPr>
          <w:rFonts w:ascii="Verdana" w:eastAsia="Arial" w:hAnsi="Verdana" w:cs="Arial"/>
          <w:sz w:val="21"/>
          <w:szCs w:val="21"/>
          <w:lang w:eastAsia="it-IT" w:bidi="it-IT"/>
        </w:rPr>
      </w:pPr>
    </w:p>
    <w:p w:rsidR="00AF4844" w:rsidRDefault="00AF4844">
      <w:bookmarkStart w:id="1" w:name="_GoBack"/>
      <w:bookmarkEnd w:id="1"/>
    </w:p>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BD"/>
    <w:rsid w:val="00535F11"/>
    <w:rsid w:val="007732BD"/>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D2A04-F49C-4E28-AA50-0B326F330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2020-03-20T16:38:00Z</dcterms:created>
  <dcterms:modified xsi:type="dcterms:W3CDTF">2020-03-20T16:39:00Z</dcterms:modified>
</cp:coreProperties>
</file>