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232B" w14:textId="77777777" w:rsidR="0028162F" w:rsidRPr="0028162F" w:rsidRDefault="0028162F" w:rsidP="0028162F">
      <w:pPr>
        <w:widowControl w:val="0"/>
        <w:tabs>
          <w:tab w:val="left" w:pos="426"/>
        </w:tabs>
        <w:suppressAutoHyphens/>
        <w:spacing w:after="0" w:line="240" w:lineRule="auto"/>
        <w:ind w:left="426" w:hanging="426"/>
        <w:jc w:val="both"/>
        <w:rPr>
          <w:rFonts w:ascii="Verdana" w:eastAsia="Times New Roman" w:hAnsi="Verdana" w:cs="Times New Roman"/>
          <w:kern w:val="1"/>
          <w:sz w:val="21"/>
          <w:szCs w:val="21"/>
          <w:lang w:eastAsia="hi-IN" w:bidi="hi-IN"/>
        </w:rPr>
      </w:pPr>
      <w:r w:rsidRPr="0028162F">
        <w:rPr>
          <w:rFonts w:ascii="Verdana" w:eastAsia="Times New Roman" w:hAnsi="Verdana" w:cs="Times New Roman"/>
          <w:kern w:val="1"/>
          <w:sz w:val="21"/>
          <w:szCs w:val="21"/>
          <w:u w:val="single"/>
          <w:lang w:eastAsia="hi-IN" w:bidi="hi-IN"/>
        </w:rPr>
        <w:t>PROCLAMAZIONE DELLO STATO DI AGITAZIONE SETTORE SCUOLA E RICHIESTA DI CONCILIAZIONE</w:t>
      </w:r>
    </w:p>
    <w:p w14:paraId="2598F30A" w14:textId="77777777" w:rsidR="0028162F" w:rsidRPr="0028162F" w:rsidRDefault="0028162F" w:rsidP="0028162F">
      <w:pPr>
        <w:widowControl w:val="0"/>
        <w:tabs>
          <w:tab w:val="left" w:pos="426"/>
        </w:tabs>
        <w:suppressAutoHyphens/>
        <w:spacing w:after="0" w:line="240" w:lineRule="auto"/>
        <w:jc w:val="both"/>
        <w:rPr>
          <w:rFonts w:ascii="Verdana" w:eastAsia="Times New Roman" w:hAnsi="Verdana" w:cs="Times New Roman"/>
          <w:kern w:val="1"/>
          <w:sz w:val="21"/>
          <w:szCs w:val="21"/>
          <w:lang w:eastAsia="hi-IN" w:bidi="hi-IN"/>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8"/>
        <w:gridCol w:w="2444"/>
        <w:gridCol w:w="2368"/>
        <w:gridCol w:w="2388"/>
      </w:tblGrid>
      <w:tr w:rsidR="0028162F" w:rsidRPr="0028162F" w14:paraId="325C8283" w14:textId="77777777" w:rsidTr="00DF5B35">
        <w:trPr>
          <w:jc w:val="center"/>
        </w:trPr>
        <w:tc>
          <w:tcPr>
            <w:tcW w:w="2481" w:type="dxa"/>
          </w:tcPr>
          <w:p w14:paraId="77B0972D"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22A0DCC4" wp14:editId="10420AF8">
                  <wp:extent cx="1343025" cy="525531"/>
                  <wp:effectExtent l="0" t="0" r="0" b="825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ccgil_nuovo.jpg"/>
                          <pic:cNvPicPr/>
                        </pic:nvPicPr>
                        <pic:blipFill>
                          <a:blip r:embed="rId5">
                            <a:extLst>
                              <a:ext uri="{28A0092B-C50C-407E-A947-70E740481C1C}">
                                <a14:useLocalDpi xmlns:a14="http://schemas.microsoft.com/office/drawing/2010/main" val="0"/>
                              </a:ext>
                            </a:extLst>
                          </a:blip>
                          <a:stretch>
                            <a:fillRect/>
                          </a:stretch>
                        </pic:blipFill>
                        <pic:spPr>
                          <a:xfrm>
                            <a:off x="0" y="0"/>
                            <a:ext cx="1383834" cy="541500"/>
                          </a:xfrm>
                          <a:prstGeom prst="rect">
                            <a:avLst/>
                          </a:prstGeom>
                        </pic:spPr>
                      </pic:pic>
                    </a:graphicData>
                  </a:graphic>
                </wp:inline>
              </w:drawing>
            </w:r>
          </w:p>
        </w:tc>
        <w:tc>
          <w:tcPr>
            <w:tcW w:w="2480" w:type="dxa"/>
          </w:tcPr>
          <w:p w14:paraId="4CA4A3AA"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50AB95AC" wp14:editId="6199CF8F">
                  <wp:extent cx="1381125" cy="409829"/>
                  <wp:effectExtent l="0" t="0" r="0"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il-logo.png"/>
                          <pic:cNvPicPr/>
                        </pic:nvPicPr>
                        <pic:blipFill>
                          <a:blip r:embed="rId6">
                            <a:extLst>
                              <a:ext uri="{28A0092B-C50C-407E-A947-70E740481C1C}">
                                <a14:useLocalDpi xmlns:a14="http://schemas.microsoft.com/office/drawing/2010/main" val="0"/>
                              </a:ext>
                            </a:extLst>
                          </a:blip>
                          <a:stretch>
                            <a:fillRect/>
                          </a:stretch>
                        </pic:blipFill>
                        <pic:spPr>
                          <a:xfrm>
                            <a:off x="0" y="0"/>
                            <a:ext cx="1440137" cy="427340"/>
                          </a:xfrm>
                          <a:prstGeom prst="rect">
                            <a:avLst/>
                          </a:prstGeom>
                        </pic:spPr>
                      </pic:pic>
                    </a:graphicData>
                  </a:graphic>
                </wp:inline>
              </w:drawing>
            </w:r>
          </w:p>
        </w:tc>
        <w:tc>
          <w:tcPr>
            <w:tcW w:w="2480" w:type="dxa"/>
          </w:tcPr>
          <w:p w14:paraId="63279695"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64BC8640" wp14:editId="2F773545">
                  <wp:extent cx="972619" cy="5524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SNALS 2021-250-SIG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2866" cy="580991"/>
                          </a:xfrm>
                          <a:prstGeom prst="rect">
                            <a:avLst/>
                          </a:prstGeom>
                        </pic:spPr>
                      </pic:pic>
                    </a:graphicData>
                  </a:graphic>
                </wp:inline>
              </w:drawing>
            </w:r>
          </w:p>
        </w:tc>
        <w:tc>
          <w:tcPr>
            <w:tcW w:w="2482" w:type="dxa"/>
          </w:tcPr>
          <w:p w14:paraId="00C8CC91"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0B4360C0" wp14:editId="32E36092">
                  <wp:extent cx="1060607" cy="485775"/>
                  <wp:effectExtent l="0" t="0" r="635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GildaUnams.jpg"/>
                          <pic:cNvPicPr/>
                        </pic:nvPicPr>
                        <pic:blipFill>
                          <a:blip r:embed="rId8">
                            <a:extLst>
                              <a:ext uri="{28A0092B-C50C-407E-A947-70E740481C1C}">
                                <a14:useLocalDpi xmlns:a14="http://schemas.microsoft.com/office/drawing/2010/main" val="0"/>
                              </a:ext>
                            </a:extLst>
                          </a:blip>
                          <a:stretch>
                            <a:fillRect/>
                          </a:stretch>
                        </pic:blipFill>
                        <pic:spPr>
                          <a:xfrm>
                            <a:off x="0" y="0"/>
                            <a:ext cx="1087405" cy="498049"/>
                          </a:xfrm>
                          <a:prstGeom prst="rect">
                            <a:avLst/>
                          </a:prstGeom>
                        </pic:spPr>
                      </pic:pic>
                    </a:graphicData>
                  </a:graphic>
                </wp:inline>
              </w:drawing>
            </w:r>
          </w:p>
        </w:tc>
      </w:tr>
    </w:tbl>
    <w:p w14:paraId="22079909" w14:textId="77777777" w:rsidR="0028162F" w:rsidRPr="0028162F" w:rsidRDefault="0028162F" w:rsidP="0028162F">
      <w:pPr>
        <w:widowControl w:val="0"/>
        <w:tabs>
          <w:tab w:val="left" w:pos="426"/>
        </w:tabs>
        <w:suppressAutoHyphens/>
        <w:spacing w:after="0" w:line="240" w:lineRule="auto"/>
        <w:jc w:val="both"/>
        <w:rPr>
          <w:rFonts w:ascii="Verdana" w:eastAsia="Times New Roman" w:hAnsi="Verdana" w:cs="Times New Roman"/>
          <w:kern w:val="1"/>
          <w:sz w:val="21"/>
          <w:szCs w:val="21"/>
          <w:lang w:eastAsia="hi-IN" w:bidi="hi-IN"/>
        </w:rPr>
      </w:pPr>
    </w:p>
    <w:p w14:paraId="1886AB27"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0160ADD5" w14:textId="77777777" w:rsidR="0028162F" w:rsidRPr="0028162F" w:rsidRDefault="0028162F" w:rsidP="0028162F">
      <w:pPr>
        <w:widowControl w:val="0"/>
        <w:tabs>
          <w:tab w:val="left" w:pos="426"/>
        </w:tabs>
        <w:suppressAutoHyphens/>
        <w:spacing w:after="0" w:line="240" w:lineRule="auto"/>
        <w:ind w:left="4536"/>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Alla Presidenza del Consiglio dei Ministri</w:t>
      </w:r>
    </w:p>
    <w:p w14:paraId="74F9781D" w14:textId="77777777" w:rsidR="0028162F" w:rsidRPr="0028162F" w:rsidRDefault="0028162F" w:rsidP="0028162F">
      <w:pPr>
        <w:widowControl w:val="0"/>
        <w:tabs>
          <w:tab w:val="left" w:pos="426"/>
        </w:tabs>
        <w:suppressAutoHyphens/>
        <w:spacing w:after="0" w:line="240" w:lineRule="auto"/>
        <w:ind w:left="4536"/>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Dipartimento della Funzione Pubblica</w:t>
      </w:r>
    </w:p>
    <w:p w14:paraId="2181EDC8" w14:textId="77777777" w:rsidR="0028162F" w:rsidRPr="0028162F" w:rsidRDefault="0028162F" w:rsidP="0028162F">
      <w:pPr>
        <w:widowControl w:val="0"/>
        <w:tabs>
          <w:tab w:val="left" w:pos="426"/>
        </w:tabs>
        <w:suppressAutoHyphens/>
        <w:spacing w:after="0" w:line="240" w:lineRule="auto"/>
        <w:ind w:left="4536"/>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Al Ministero del lavoro e delle Politiche Sociali</w:t>
      </w:r>
    </w:p>
    <w:p w14:paraId="108BD505" w14:textId="77777777" w:rsidR="0028162F" w:rsidRPr="0028162F" w:rsidRDefault="0028162F" w:rsidP="0028162F">
      <w:pPr>
        <w:widowControl w:val="0"/>
        <w:tabs>
          <w:tab w:val="left" w:pos="426"/>
        </w:tabs>
        <w:suppressAutoHyphens/>
        <w:spacing w:after="0" w:line="240" w:lineRule="auto"/>
        <w:ind w:left="4536"/>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Al Ministero dell’Istruzione</w:t>
      </w:r>
    </w:p>
    <w:p w14:paraId="5F77DF9B" w14:textId="77777777" w:rsidR="0028162F" w:rsidRPr="0028162F" w:rsidRDefault="0028162F" w:rsidP="0028162F">
      <w:pPr>
        <w:widowControl w:val="0"/>
        <w:tabs>
          <w:tab w:val="left" w:pos="426"/>
        </w:tabs>
        <w:suppressAutoHyphens/>
        <w:spacing w:after="0" w:line="240" w:lineRule="auto"/>
        <w:ind w:left="4536"/>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Alla Commissione di Garanzia</w:t>
      </w:r>
    </w:p>
    <w:p w14:paraId="14CA1F65" w14:textId="77777777" w:rsidR="0028162F" w:rsidRPr="0028162F" w:rsidRDefault="0028162F" w:rsidP="0028162F">
      <w:pPr>
        <w:widowControl w:val="0"/>
        <w:tabs>
          <w:tab w:val="left" w:pos="426"/>
        </w:tabs>
        <w:suppressAutoHyphens/>
        <w:spacing w:after="0" w:line="240" w:lineRule="auto"/>
        <w:ind w:left="4536"/>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sul diritto di sciopero nei servizi pubblici</w:t>
      </w:r>
    </w:p>
    <w:p w14:paraId="29231041"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413347AF"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b/>
          <w:kern w:val="1"/>
          <w:lang w:eastAsia="hi-IN" w:bidi="hi-IN"/>
        </w:rPr>
      </w:pPr>
      <w:r w:rsidRPr="0028162F">
        <w:rPr>
          <w:rFonts w:ascii="Arial Narrow" w:eastAsia="Times New Roman" w:hAnsi="Arial Narrow" w:cs="Tahoma"/>
          <w:b/>
          <w:kern w:val="1"/>
          <w:lang w:eastAsia="hi-IN" w:bidi="hi-IN"/>
        </w:rPr>
        <w:t>Oggetto: Proclamazione dello stato di agitazione nel Comparto Istruzione e Ricerca - settore scuola - e richiesta di esperimento di tentativo di conciliazione ai sensi dell’art. 11 dell’Accordo sulle norme di garanzia dei servizi pubblici essenziali e sulle procedure di raffreddamento e conciliazione in caso di sciopero sottoscritto in data 2 dicembre 2020 in attuazione della legge 146/90.</w:t>
      </w:r>
    </w:p>
    <w:p w14:paraId="6751D5A5"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497E094F"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03380AE6"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Le scriventi organizzazioni sindacali proclamano lo stato di agitazione nel Comparto Istruzione e Ricerca, per rivendicare:</w:t>
      </w:r>
    </w:p>
    <w:p w14:paraId="1806BBF3"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55651B11"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b/>
          <w:kern w:val="1"/>
          <w:lang w:eastAsia="hi-IN" w:bidi="hi-IN"/>
        </w:rPr>
      </w:pPr>
      <w:r w:rsidRPr="0028162F">
        <w:rPr>
          <w:rFonts w:ascii="Arial Narrow" w:eastAsia="Times New Roman" w:hAnsi="Arial Narrow" w:cs="Tahoma"/>
          <w:b/>
          <w:kern w:val="1"/>
          <w:lang w:eastAsia="hi-IN" w:bidi="hi-IN"/>
        </w:rPr>
        <w:t>Il rinnovo del CCNL 2019/2021 sotto il profilo normativo e retributivo:</w:t>
      </w:r>
    </w:p>
    <w:p w14:paraId="22CC3817" w14:textId="77777777" w:rsidR="0028162F" w:rsidRPr="0028162F" w:rsidRDefault="0028162F" w:rsidP="0028162F">
      <w:pPr>
        <w:widowControl w:val="0"/>
        <w:numPr>
          <w:ilvl w:val="0"/>
          <w:numId w:val="1"/>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il CCNL 2016-2018, già scaduto al 31/12/2018, è stato formalmente disdettato dalle scriventi, ma le risorse stanziate per il rinnovo nella legge di bilancio 2022 sono assolutamente insufficienti per concludere la trattativa. Occorrono inoltre risorse aggiuntive per ridurre il divario esistente tra le retribuzioni del settore, a parità di titoli di studio, alla media di quelle del comparto pubblico e in prospettiva alla media dei paesi europei;</w:t>
      </w:r>
    </w:p>
    <w:p w14:paraId="0F9086D3" w14:textId="77777777" w:rsidR="0028162F" w:rsidRPr="0028162F" w:rsidRDefault="0028162F" w:rsidP="0028162F">
      <w:pPr>
        <w:widowControl w:val="0"/>
        <w:numPr>
          <w:ilvl w:val="0"/>
          <w:numId w:val="1"/>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la garanzia del consolidamento in busta paga dell’elemento perequativo previsto nei CCNL 2016/2018;</w:t>
      </w:r>
    </w:p>
    <w:p w14:paraId="36911688" w14:textId="77777777" w:rsidR="0028162F" w:rsidRPr="0028162F" w:rsidRDefault="0028162F" w:rsidP="0028162F">
      <w:pPr>
        <w:widowControl w:val="0"/>
        <w:numPr>
          <w:ilvl w:val="0"/>
          <w:numId w:val="1"/>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 xml:space="preserve">la </w:t>
      </w:r>
      <w:proofErr w:type="spellStart"/>
      <w:r w:rsidRPr="0028162F">
        <w:rPr>
          <w:rFonts w:ascii="Arial Narrow" w:eastAsia="Calibri" w:hAnsi="Arial Narrow" w:cs="Tahoma"/>
        </w:rPr>
        <w:t>definalizzazione</w:t>
      </w:r>
      <w:proofErr w:type="spellEnd"/>
      <w:r w:rsidRPr="0028162F">
        <w:rPr>
          <w:rFonts w:ascii="Arial Narrow" w:eastAsia="Calibri" w:hAnsi="Arial Narrow" w:cs="Tahoma"/>
        </w:rPr>
        <w:t xml:space="preserve"> degli aumenti contrattuali eliminando ogni riferimento a: “dedizione all’insegnamento, impegno nella promozione della comunità scolastica e la cura nell’aggiornamento professionale continuo”.</w:t>
      </w:r>
    </w:p>
    <w:p w14:paraId="771A3CFD" w14:textId="77777777" w:rsidR="0028162F" w:rsidRPr="0028162F" w:rsidRDefault="0028162F" w:rsidP="0028162F">
      <w:pPr>
        <w:widowControl w:val="0"/>
        <w:numPr>
          <w:ilvl w:val="0"/>
          <w:numId w:val="1"/>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la valorizzazione della professionalità docente;</w:t>
      </w:r>
    </w:p>
    <w:p w14:paraId="44A2B118" w14:textId="77777777" w:rsidR="0028162F" w:rsidRPr="0028162F" w:rsidRDefault="0028162F" w:rsidP="0028162F">
      <w:pPr>
        <w:widowControl w:val="0"/>
        <w:numPr>
          <w:ilvl w:val="0"/>
          <w:numId w:val="1"/>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 xml:space="preserve">lo stanziamento di risorse aggiuntive per finanziarie la revisione dei profili professionali di </w:t>
      </w:r>
      <w:proofErr w:type="spellStart"/>
      <w:r w:rsidRPr="0028162F">
        <w:rPr>
          <w:rFonts w:ascii="Arial Narrow" w:eastAsia="Calibri" w:hAnsi="Arial Narrow" w:cs="Tahoma"/>
        </w:rPr>
        <w:t>Dsga</w:t>
      </w:r>
      <w:proofErr w:type="spellEnd"/>
      <w:r w:rsidRPr="0028162F">
        <w:rPr>
          <w:rFonts w:ascii="Arial Narrow" w:eastAsia="Calibri" w:hAnsi="Arial Narrow" w:cs="Tahoma"/>
        </w:rPr>
        <w:t>, assistenti amministrativi e tecnici e collaboratori scolastici;</w:t>
      </w:r>
    </w:p>
    <w:p w14:paraId="3070B0E0" w14:textId="77777777" w:rsidR="0028162F" w:rsidRPr="0028162F" w:rsidRDefault="0028162F" w:rsidP="0028162F">
      <w:pPr>
        <w:widowControl w:val="0"/>
        <w:numPr>
          <w:ilvl w:val="0"/>
          <w:numId w:val="1"/>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l’incremento del fondo per la contrattazione integrativa delle istituzioni scolastiche;</w:t>
      </w:r>
    </w:p>
    <w:p w14:paraId="6E3E3BF7" w14:textId="77777777" w:rsidR="0028162F" w:rsidRPr="0028162F" w:rsidRDefault="0028162F" w:rsidP="0028162F">
      <w:pPr>
        <w:widowControl w:val="0"/>
        <w:numPr>
          <w:ilvl w:val="0"/>
          <w:numId w:val="1"/>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l’estensione della card docenti al personale precario e al personale educatore ed Ata;</w:t>
      </w:r>
    </w:p>
    <w:p w14:paraId="648F7494"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6E7849B9"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b/>
          <w:kern w:val="1"/>
          <w:lang w:eastAsia="hi-IN" w:bidi="hi-IN"/>
        </w:rPr>
      </w:pPr>
      <w:r w:rsidRPr="0028162F">
        <w:rPr>
          <w:rFonts w:ascii="Arial Narrow" w:eastAsia="Times New Roman" w:hAnsi="Arial Narrow" w:cs="Tahoma"/>
          <w:b/>
          <w:kern w:val="1"/>
          <w:lang w:eastAsia="hi-IN" w:bidi="hi-IN"/>
        </w:rPr>
        <w:t>In tema di relazioni sindacali:</w:t>
      </w:r>
    </w:p>
    <w:p w14:paraId="17B136FF" w14:textId="77777777" w:rsidR="0028162F" w:rsidRPr="0028162F" w:rsidRDefault="0028162F" w:rsidP="0028162F">
      <w:pPr>
        <w:widowControl w:val="0"/>
        <w:numPr>
          <w:ilvl w:val="0"/>
          <w:numId w:val="2"/>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va affermata la centralità delle prerogative contrattuali rispetto alla legge come strumento di potenziamento della funzione unificante che il sistema di Istruzione e Ricerca svolge per l’intero Paese. Giudicano inaccettabile l’intervento unilaterale su materie di competenza della contrattazione quali la mobilità, la formazione, la valorizzazione professionale e in generale su tutti gli aspetti attinenti al rapporto di lavoro.</w:t>
      </w:r>
    </w:p>
    <w:p w14:paraId="049780A0"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432E1F24"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b/>
          <w:kern w:val="1"/>
          <w:lang w:eastAsia="hi-IN" w:bidi="hi-IN"/>
        </w:rPr>
      </w:pPr>
      <w:r w:rsidRPr="0028162F">
        <w:rPr>
          <w:rFonts w:ascii="Arial Narrow" w:eastAsia="Times New Roman" w:hAnsi="Arial Narrow" w:cs="Tahoma"/>
          <w:b/>
          <w:kern w:val="1"/>
          <w:lang w:eastAsia="hi-IN" w:bidi="hi-IN"/>
        </w:rPr>
        <w:t>Organici e stabilizzazione precari:</w:t>
      </w:r>
    </w:p>
    <w:p w14:paraId="5B6D7793" w14:textId="77777777" w:rsidR="0028162F" w:rsidRPr="0028162F" w:rsidRDefault="0028162F" w:rsidP="0028162F">
      <w:pPr>
        <w:widowControl w:val="0"/>
        <w:numPr>
          <w:ilvl w:val="0"/>
          <w:numId w:val="2"/>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proroga al 30 giugno 2022 dei contratti docenti e Ata sul cosiddetto “organico covid”;</w:t>
      </w:r>
    </w:p>
    <w:p w14:paraId="119137E5" w14:textId="77777777" w:rsidR="0028162F" w:rsidRPr="0028162F" w:rsidRDefault="0028162F" w:rsidP="0028162F">
      <w:pPr>
        <w:widowControl w:val="0"/>
        <w:numPr>
          <w:ilvl w:val="0"/>
          <w:numId w:val="2"/>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riduzione del numero di alunni per classe e per istituzione scolastica, come da Patto per la Scuola Governo/sindacati del 20 maggio scorso;</w:t>
      </w:r>
    </w:p>
    <w:p w14:paraId="0B19F87A" w14:textId="77777777" w:rsidR="0028162F" w:rsidRPr="0028162F" w:rsidRDefault="0028162F" w:rsidP="0028162F">
      <w:pPr>
        <w:widowControl w:val="0"/>
        <w:numPr>
          <w:ilvl w:val="0"/>
          <w:numId w:val="2"/>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apertura immediata del tavolo di confronto, previsto dal Patto per la scuola del maggio scorso, per rendere disponibile in via strutturale e permanente il sistema delle abilitazioni nella scuola ai fini della stabilizzazione del precariato in favore dei precari con almeno 3 anni di servizio e dei docenti già di ruolo;</w:t>
      </w:r>
    </w:p>
    <w:p w14:paraId="7E5E2134" w14:textId="77777777" w:rsidR="0028162F" w:rsidRPr="0028162F" w:rsidRDefault="0028162F" w:rsidP="0028162F">
      <w:pPr>
        <w:widowControl w:val="0"/>
        <w:numPr>
          <w:ilvl w:val="0"/>
          <w:numId w:val="2"/>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apertura del tavolo di confronto sulla mobilità per superare i vincoli imposti al personale docente e Dirigente.</w:t>
      </w:r>
    </w:p>
    <w:p w14:paraId="7C2CD3A1"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5EBFBE8C"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b/>
          <w:kern w:val="1"/>
          <w:lang w:eastAsia="hi-IN" w:bidi="hi-IN"/>
        </w:rPr>
      </w:pPr>
      <w:r w:rsidRPr="0028162F">
        <w:rPr>
          <w:rFonts w:ascii="Arial Narrow" w:eastAsia="Times New Roman" w:hAnsi="Arial Narrow" w:cs="Tahoma"/>
          <w:b/>
          <w:kern w:val="1"/>
          <w:lang w:eastAsia="hi-IN" w:bidi="hi-IN"/>
        </w:rPr>
        <w:t>Personale ATA:</w:t>
      </w:r>
    </w:p>
    <w:p w14:paraId="7CFDF2D2" w14:textId="77777777" w:rsidR="0028162F" w:rsidRPr="0028162F" w:rsidRDefault="0028162F" w:rsidP="0028162F">
      <w:pPr>
        <w:widowControl w:val="0"/>
        <w:numPr>
          <w:ilvl w:val="0"/>
          <w:numId w:val="3"/>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indizione del concorso riservato per gli assistenti amministrativi facenti funzione DSGA con tre anni di servizio, compresi coloro che sono sforniti di titolo di studio specifico;</w:t>
      </w:r>
    </w:p>
    <w:p w14:paraId="35596D0F" w14:textId="77777777" w:rsidR="0028162F" w:rsidRPr="0028162F" w:rsidRDefault="0028162F" w:rsidP="0028162F">
      <w:pPr>
        <w:widowControl w:val="0"/>
        <w:numPr>
          <w:ilvl w:val="0"/>
          <w:numId w:val="3"/>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 xml:space="preserve">incremento l’organico Ata implementando i parametri di distribuzione del personale alle scuole anche in ragione </w:t>
      </w:r>
      <w:r w:rsidRPr="0028162F">
        <w:rPr>
          <w:rFonts w:ascii="Arial Narrow" w:eastAsia="Calibri" w:hAnsi="Arial Narrow" w:cs="Tahoma"/>
        </w:rPr>
        <w:lastRenderedPageBreak/>
        <w:t>delle sempre più crescenti esigenze di sicurezza con particolare riferimento al profilo di collaboratore scolastico, stante l’intesa Mi/sindacati del 18 maggio scorso;</w:t>
      </w:r>
    </w:p>
    <w:p w14:paraId="42B99B36" w14:textId="77777777" w:rsidR="0028162F" w:rsidRPr="0028162F" w:rsidRDefault="0028162F" w:rsidP="0028162F">
      <w:pPr>
        <w:widowControl w:val="0"/>
        <w:numPr>
          <w:ilvl w:val="0"/>
          <w:numId w:val="3"/>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 xml:space="preserve">superamento blocco quinquennale ai fini della mobilità dei </w:t>
      </w:r>
      <w:proofErr w:type="spellStart"/>
      <w:r w:rsidRPr="0028162F">
        <w:rPr>
          <w:rFonts w:ascii="Arial Narrow" w:eastAsia="Calibri" w:hAnsi="Arial Narrow" w:cs="Tahoma"/>
        </w:rPr>
        <w:t>Dsga</w:t>
      </w:r>
      <w:proofErr w:type="spellEnd"/>
      <w:r w:rsidRPr="0028162F">
        <w:rPr>
          <w:rFonts w:ascii="Arial Narrow" w:eastAsia="Calibri" w:hAnsi="Arial Narrow" w:cs="Tahoma"/>
        </w:rPr>
        <w:t xml:space="preserve"> neo assunti.</w:t>
      </w:r>
    </w:p>
    <w:p w14:paraId="65843A63"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1CC0C4A7"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b/>
          <w:kern w:val="1"/>
          <w:lang w:eastAsia="hi-IN" w:bidi="hi-IN"/>
        </w:rPr>
      </w:pPr>
      <w:r w:rsidRPr="0028162F">
        <w:rPr>
          <w:rFonts w:ascii="Arial Narrow" w:eastAsia="Times New Roman" w:hAnsi="Arial Narrow" w:cs="Tahoma"/>
          <w:b/>
          <w:kern w:val="1"/>
          <w:lang w:eastAsia="hi-IN" w:bidi="hi-IN"/>
        </w:rPr>
        <w:t>Sburocratizzazione del lavoro e semplificazione:</w:t>
      </w:r>
    </w:p>
    <w:p w14:paraId="2A450898" w14:textId="77777777" w:rsidR="0028162F" w:rsidRPr="0028162F" w:rsidRDefault="0028162F" w:rsidP="0028162F">
      <w:pPr>
        <w:widowControl w:val="0"/>
        <w:numPr>
          <w:ilvl w:val="0"/>
          <w:numId w:val="4"/>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limitare all’essenziale la documentazione relativa ai processi didattici e amministrativi;</w:t>
      </w:r>
    </w:p>
    <w:p w14:paraId="35678576" w14:textId="77777777" w:rsidR="0028162F" w:rsidRPr="0028162F" w:rsidRDefault="0028162F" w:rsidP="0028162F">
      <w:pPr>
        <w:widowControl w:val="0"/>
        <w:numPr>
          <w:ilvl w:val="0"/>
          <w:numId w:val="4"/>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valorizzare l’autonomia progettuale dei docenti che si esplica nella dimensione individuale e collegiale;</w:t>
      </w:r>
    </w:p>
    <w:p w14:paraId="5F77DC54" w14:textId="77777777" w:rsidR="0028162F" w:rsidRPr="0028162F" w:rsidRDefault="0028162F" w:rsidP="0028162F">
      <w:pPr>
        <w:widowControl w:val="0"/>
        <w:numPr>
          <w:ilvl w:val="0"/>
          <w:numId w:val="4"/>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snellire i procedimenti amministrativi eliminando confusioni e conflitti di competenza con altri enti pubblici.</w:t>
      </w:r>
    </w:p>
    <w:p w14:paraId="144C61E7"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51549729"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b/>
          <w:kern w:val="1"/>
          <w:lang w:eastAsia="hi-IN" w:bidi="hi-IN"/>
        </w:rPr>
      </w:pPr>
      <w:r w:rsidRPr="0028162F">
        <w:rPr>
          <w:rFonts w:ascii="Arial Narrow" w:eastAsia="Times New Roman" w:hAnsi="Arial Narrow" w:cs="Tahoma"/>
          <w:b/>
          <w:kern w:val="1"/>
          <w:lang w:eastAsia="hi-IN" w:bidi="hi-IN"/>
        </w:rPr>
        <w:t>Autonomia Differenziata:</w:t>
      </w:r>
    </w:p>
    <w:p w14:paraId="3537DB3C" w14:textId="77777777" w:rsidR="0028162F" w:rsidRPr="0028162F" w:rsidRDefault="0028162F" w:rsidP="0028162F">
      <w:pPr>
        <w:widowControl w:val="0"/>
        <w:numPr>
          <w:ilvl w:val="0"/>
          <w:numId w:val="5"/>
        </w:numPr>
        <w:tabs>
          <w:tab w:val="left" w:pos="426"/>
        </w:tabs>
        <w:suppressAutoHyphens/>
        <w:spacing w:after="0" w:line="240" w:lineRule="auto"/>
        <w:contextualSpacing/>
        <w:jc w:val="both"/>
        <w:rPr>
          <w:rFonts w:ascii="Arial Narrow" w:eastAsia="Calibri" w:hAnsi="Arial Narrow" w:cs="Tahoma"/>
        </w:rPr>
      </w:pPr>
      <w:r w:rsidRPr="0028162F">
        <w:rPr>
          <w:rFonts w:ascii="Arial Narrow" w:eastAsia="Calibri" w:hAnsi="Arial Narrow" w:cs="Tahoma"/>
        </w:rPr>
        <w:t>superamento di ogni iniziativa di devoluzione delle competenze in materia di istruzione.</w:t>
      </w:r>
    </w:p>
    <w:p w14:paraId="3AE25062"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p w14:paraId="1732934D"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r w:rsidRPr="0028162F">
        <w:rPr>
          <w:rFonts w:ascii="Arial Narrow" w:eastAsia="Times New Roman" w:hAnsi="Arial Narrow" w:cs="Tahoma"/>
          <w:kern w:val="1"/>
          <w:lang w:eastAsia="hi-IN" w:bidi="hi-IN"/>
        </w:rPr>
        <w:t>Su tutte queste tematiche sinteticamente riassunte, si richiede l’esperimento del tentativo di conciliazione previsto dalla citata Legge e la convocazione dell’apposito organismo costituito con D. M. n. 127 del 20 aprile 2000.</w:t>
      </w:r>
    </w:p>
    <w:p w14:paraId="0A49A055" w14:textId="77777777" w:rsidR="0028162F" w:rsidRPr="0028162F" w:rsidRDefault="0028162F" w:rsidP="0028162F">
      <w:pPr>
        <w:widowControl w:val="0"/>
        <w:tabs>
          <w:tab w:val="left" w:pos="426"/>
        </w:tabs>
        <w:suppressAutoHyphens/>
        <w:spacing w:after="0" w:line="240" w:lineRule="auto"/>
        <w:jc w:val="both"/>
        <w:rPr>
          <w:rFonts w:ascii="Arial Narrow" w:eastAsia="Times New Roman" w:hAnsi="Arial Narrow" w:cs="Tahoma"/>
          <w:kern w:val="1"/>
          <w:lang w:eastAsia="hi-IN" w:bidi="hi-IN"/>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4"/>
        <w:gridCol w:w="2411"/>
        <w:gridCol w:w="2407"/>
        <w:gridCol w:w="2406"/>
      </w:tblGrid>
      <w:tr w:rsidR="0028162F" w:rsidRPr="0028162F" w14:paraId="637F479D" w14:textId="77777777" w:rsidTr="00DF5B35">
        <w:trPr>
          <w:jc w:val="center"/>
        </w:trPr>
        <w:tc>
          <w:tcPr>
            <w:tcW w:w="2478" w:type="dxa"/>
          </w:tcPr>
          <w:p w14:paraId="45988890" w14:textId="77777777" w:rsidR="0028162F" w:rsidRPr="0028162F" w:rsidRDefault="0028162F" w:rsidP="0028162F">
            <w:pPr>
              <w:widowControl w:val="0"/>
              <w:suppressAutoHyphens/>
              <w:jc w:val="center"/>
              <w:rPr>
                <w:rFonts w:ascii="Arial Narrow" w:hAnsi="Arial Narrow" w:cs="Tahoma"/>
                <w:b/>
                <w:kern w:val="1"/>
                <w:lang w:eastAsia="hi-IN" w:bidi="hi-IN"/>
              </w:rPr>
            </w:pPr>
            <w:proofErr w:type="spellStart"/>
            <w:r w:rsidRPr="0028162F">
              <w:rPr>
                <w:rFonts w:ascii="Arial Narrow" w:hAnsi="Arial Narrow" w:cs="Tahoma"/>
                <w:b/>
                <w:kern w:val="1"/>
                <w:lang w:eastAsia="hi-IN" w:bidi="hi-IN"/>
              </w:rPr>
              <w:t>Flc</w:t>
            </w:r>
            <w:proofErr w:type="spellEnd"/>
            <w:r w:rsidRPr="0028162F">
              <w:rPr>
                <w:rFonts w:ascii="Arial Narrow" w:hAnsi="Arial Narrow" w:cs="Tahoma"/>
                <w:b/>
                <w:kern w:val="1"/>
                <w:lang w:eastAsia="hi-IN" w:bidi="hi-IN"/>
              </w:rPr>
              <w:t xml:space="preserve"> CGIL</w:t>
            </w:r>
          </w:p>
        </w:tc>
        <w:tc>
          <w:tcPr>
            <w:tcW w:w="2478" w:type="dxa"/>
          </w:tcPr>
          <w:p w14:paraId="07BBD22F" w14:textId="77777777" w:rsidR="0028162F" w:rsidRPr="0028162F" w:rsidRDefault="0028162F" w:rsidP="0028162F">
            <w:pPr>
              <w:widowControl w:val="0"/>
              <w:suppressAutoHyphens/>
              <w:jc w:val="center"/>
              <w:rPr>
                <w:rFonts w:ascii="Arial Narrow" w:hAnsi="Arial Narrow" w:cs="Tahoma"/>
                <w:b/>
                <w:kern w:val="1"/>
                <w:lang w:eastAsia="hi-IN" w:bidi="hi-IN"/>
              </w:rPr>
            </w:pPr>
            <w:r w:rsidRPr="0028162F">
              <w:rPr>
                <w:rFonts w:ascii="Arial Narrow" w:hAnsi="Arial Narrow" w:cs="Tahoma"/>
                <w:b/>
                <w:kern w:val="1"/>
                <w:lang w:eastAsia="hi-IN" w:bidi="hi-IN"/>
              </w:rPr>
              <w:t>UIL Scuola Rua</w:t>
            </w:r>
          </w:p>
        </w:tc>
        <w:tc>
          <w:tcPr>
            <w:tcW w:w="2478" w:type="dxa"/>
          </w:tcPr>
          <w:p w14:paraId="4B7B0EB2" w14:textId="77777777" w:rsidR="0028162F" w:rsidRPr="0028162F" w:rsidRDefault="0028162F" w:rsidP="0028162F">
            <w:pPr>
              <w:widowControl w:val="0"/>
              <w:suppressAutoHyphens/>
              <w:jc w:val="center"/>
              <w:rPr>
                <w:rFonts w:ascii="Arial Narrow" w:hAnsi="Arial Narrow" w:cs="Tahoma"/>
                <w:b/>
                <w:kern w:val="1"/>
                <w:lang w:eastAsia="hi-IN" w:bidi="hi-IN"/>
              </w:rPr>
            </w:pPr>
            <w:r w:rsidRPr="0028162F">
              <w:rPr>
                <w:rFonts w:ascii="Arial Narrow" w:hAnsi="Arial Narrow" w:cs="Tahoma"/>
                <w:b/>
                <w:kern w:val="1"/>
                <w:lang w:eastAsia="hi-IN" w:bidi="hi-IN"/>
              </w:rPr>
              <w:t xml:space="preserve">SNALS </w:t>
            </w:r>
            <w:proofErr w:type="spellStart"/>
            <w:r w:rsidRPr="0028162F">
              <w:rPr>
                <w:rFonts w:ascii="Arial Narrow" w:hAnsi="Arial Narrow" w:cs="Tahoma"/>
                <w:b/>
                <w:kern w:val="1"/>
                <w:lang w:eastAsia="hi-IN" w:bidi="hi-IN"/>
              </w:rPr>
              <w:t>Confsal</w:t>
            </w:r>
            <w:proofErr w:type="spellEnd"/>
          </w:p>
        </w:tc>
        <w:tc>
          <w:tcPr>
            <w:tcW w:w="2479" w:type="dxa"/>
          </w:tcPr>
          <w:p w14:paraId="4AEF904A" w14:textId="77777777" w:rsidR="0028162F" w:rsidRPr="0028162F" w:rsidRDefault="0028162F" w:rsidP="0028162F">
            <w:pPr>
              <w:widowControl w:val="0"/>
              <w:suppressAutoHyphens/>
              <w:jc w:val="center"/>
              <w:rPr>
                <w:rFonts w:ascii="Arial Narrow" w:hAnsi="Arial Narrow" w:cs="Tahoma"/>
                <w:b/>
                <w:kern w:val="1"/>
                <w:lang w:eastAsia="hi-IN" w:bidi="hi-IN"/>
              </w:rPr>
            </w:pPr>
            <w:r w:rsidRPr="0028162F">
              <w:rPr>
                <w:rFonts w:ascii="Arial Narrow" w:hAnsi="Arial Narrow" w:cs="Tahoma"/>
                <w:b/>
                <w:kern w:val="1"/>
                <w:lang w:eastAsia="hi-IN" w:bidi="hi-IN"/>
              </w:rPr>
              <w:t xml:space="preserve">GILDA </w:t>
            </w:r>
            <w:proofErr w:type="spellStart"/>
            <w:r w:rsidRPr="0028162F">
              <w:rPr>
                <w:rFonts w:ascii="Arial Narrow" w:hAnsi="Arial Narrow" w:cs="Tahoma"/>
                <w:b/>
                <w:kern w:val="1"/>
                <w:lang w:eastAsia="hi-IN" w:bidi="hi-IN"/>
              </w:rPr>
              <w:t>Unams</w:t>
            </w:r>
            <w:proofErr w:type="spellEnd"/>
          </w:p>
        </w:tc>
      </w:tr>
      <w:tr w:rsidR="0028162F" w:rsidRPr="0028162F" w14:paraId="6930C7AA" w14:textId="77777777" w:rsidTr="00DF5B35">
        <w:trPr>
          <w:jc w:val="center"/>
        </w:trPr>
        <w:tc>
          <w:tcPr>
            <w:tcW w:w="2478" w:type="dxa"/>
          </w:tcPr>
          <w:p w14:paraId="24EB3EFC" w14:textId="77777777" w:rsidR="0028162F" w:rsidRPr="0028162F" w:rsidRDefault="0028162F" w:rsidP="0028162F">
            <w:pPr>
              <w:widowControl w:val="0"/>
              <w:suppressAutoHyphens/>
              <w:jc w:val="center"/>
              <w:rPr>
                <w:rFonts w:ascii="Arial Narrow" w:hAnsi="Arial Narrow" w:cs="Tahoma"/>
                <w:i/>
                <w:kern w:val="1"/>
                <w:lang w:eastAsia="hi-IN" w:bidi="hi-IN"/>
              </w:rPr>
            </w:pPr>
            <w:r w:rsidRPr="0028162F">
              <w:rPr>
                <w:rFonts w:ascii="Arial Narrow" w:hAnsi="Arial Narrow" w:cs="Tahoma"/>
                <w:i/>
                <w:kern w:val="1"/>
                <w:lang w:eastAsia="hi-IN" w:bidi="hi-IN"/>
              </w:rPr>
              <w:t>Francesco Sinopoli</w:t>
            </w:r>
          </w:p>
        </w:tc>
        <w:tc>
          <w:tcPr>
            <w:tcW w:w="2478" w:type="dxa"/>
          </w:tcPr>
          <w:p w14:paraId="6FDC0111" w14:textId="77777777" w:rsidR="0028162F" w:rsidRPr="0028162F" w:rsidRDefault="0028162F" w:rsidP="0028162F">
            <w:pPr>
              <w:widowControl w:val="0"/>
              <w:suppressAutoHyphens/>
              <w:jc w:val="center"/>
              <w:rPr>
                <w:rFonts w:ascii="Arial Narrow" w:hAnsi="Arial Narrow" w:cs="Tahoma"/>
                <w:i/>
                <w:kern w:val="1"/>
                <w:lang w:eastAsia="hi-IN" w:bidi="hi-IN"/>
              </w:rPr>
            </w:pPr>
            <w:r w:rsidRPr="0028162F">
              <w:rPr>
                <w:rFonts w:ascii="Arial Narrow" w:hAnsi="Arial Narrow" w:cs="Tahoma"/>
                <w:i/>
                <w:kern w:val="1"/>
                <w:lang w:eastAsia="hi-IN" w:bidi="hi-IN"/>
              </w:rPr>
              <w:t>Giuseppe Turi</w:t>
            </w:r>
          </w:p>
        </w:tc>
        <w:tc>
          <w:tcPr>
            <w:tcW w:w="2478" w:type="dxa"/>
          </w:tcPr>
          <w:p w14:paraId="6621D9DE" w14:textId="77777777" w:rsidR="0028162F" w:rsidRPr="0028162F" w:rsidRDefault="0028162F" w:rsidP="0028162F">
            <w:pPr>
              <w:widowControl w:val="0"/>
              <w:suppressAutoHyphens/>
              <w:jc w:val="center"/>
              <w:rPr>
                <w:rFonts w:ascii="Arial Narrow" w:hAnsi="Arial Narrow" w:cs="Tahoma"/>
                <w:i/>
                <w:kern w:val="1"/>
                <w:lang w:eastAsia="hi-IN" w:bidi="hi-IN"/>
              </w:rPr>
            </w:pPr>
            <w:r w:rsidRPr="0028162F">
              <w:rPr>
                <w:rFonts w:ascii="Arial Narrow" w:hAnsi="Arial Narrow" w:cs="Tahoma"/>
                <w:i/>
                <w:kern w:val="1"/>
                <w:lang w:eastAsia="hi-IN" w:bidi="hi-IN"/>
              </w:rPr>
              <w:t>Elvira Serafini</w:t>
            </w:r>
          </w:p>
        </w:tc>
        <w:tc>
          <w:tcPr>
            <w:tcW w:w="2479" w:type="dxa"/>
          </w:tcPr>
          <w:p w14:paraId="3BAFFAAE" w14:textId="77777777" w:rsidR="0028162F" w:rsidRPr="0028162F" w:rsidRDefault="0028162F" w:rsidP="0028162F">
            <w:pPr>
              <w:widowControl w:val="0"/>
              <w:suppressAutoHyphens/>
              <w:jc w:val="center"/>
              <w:rPr>
                <w:rFonts w:ascii="Arial Narrow" w:hAnsi="Arial Narrow" w:cs="Tahoma"/>
                <w:i/>
                <w:kern w:val="1"/>
                <w:lang w:eastAsia="hi-IN" w:bidi="hi-IN"/>
              </w:rPr>
            </w:pPr>
            <w:r w:rsidRPr="0028162F">
              <w:rPr>
                <w:rFonts w:ascii="Arial Narrow" w:hAnsi="Arial Narrow" w:cs="Tahoma"/>
                <w:i/>
                <w:kern w:val="1"/>
                <w:lang w:eastAsia="hi-IN" w:bidi="hi-IN"/>
              </w:rPr>
              <w:t>Rino Di Meglio</w:t>
            </w:r>
          </w:p>
        </w:tc>
      </w:tr>
    </w:tbl>
    <w:p w14:paraId="0F68B886" w14:textId="77777777" w:rsidR="0028162F" w:rsidRPr="0028162F" w:rsidRDefault="0028162F" w:rsidP="0028162F">
      <w:pPr>
        <w:widowControl w:val="0"/>
        <w:tabs>
          <w:tab w:val="left" w:pos="426"/>
        </w:tabs>
        <w:suppressAutoHyphens/>
        <w:spacing w:after="0" w:line="240" w:lineRule="auto"/>
        <w:jc w:val="both"/>
        <w:rPr>
          <w:rFonts w:ascii="Verdana" w:eastAsia="Times New Roman" w:hAnsi="Verdana" w:cs="Times New Roman"/>
          <w:kern w:val="1"/>
          <w:sz w:val="21"/>
          <w:szCs w:val="21"/>
          <w:lang w:eastAsia="hi-IN" w:bidi="hi-IN"/>
        </w:rPr>
      </w:pPr>
    </w:p>
    <w:p w14:paraId="3F7BB882" w14:textId="77777777" w:rsidR="0028162F" w:rsidRPr="0028162F" w:rsidRDefault="0028162F" w:rsidP="0028162F">
      <w:pPr>
        <w:spacing w:after="0" w:line="240" w:lineRule="auto"/>
        <w:rPr>
          <w:rFonts w:ascii="Verdana" w:eastAsia="Times New Roman" w:hAnsi="Verdana" w:cs="Times New Roman"/>
          <w:kern w:val="1"/>
          <w:sz w:val="21"/>
          <w:szCs w:val="21"/>
          <w:lang w:eastAsia="hi-IN" w:bidi="hi-IN"/>
        </w:rPr>
      </w:pPr>
      <w:r w:rsidRPr="0028162F">
        <w:rPr>
          <w:rFonts w:ascii="Verdana" w:eastAsia="Times New Roman" w:hAnsi="Verdana" w:cs="Times New Roman"/>
          <w:kern w:val="1"/>
          <w:sz w:val="21"/>
          <w:szCs w:val="21"/>
          <w:lang w:eastAsia="hi-IN" w:bidi="hi-IN"/>
        </w:rPr>
        <w:br w:type="page"/>
      </w:r>
    </w:p>
    <w:p w14:paraId="0862262D" w14:textId="77777777" w:rsidR="0028162F" w:rsidRPr="0028162F" w:rsidRDefault="0028162F" w:rsidP="0028162F">
      <w:pPr>
        <w:widowControl w:val="0"/>
        <w:tabs>
          <w:tab w:val="left" w:pos="426"/>
        </w:tabs>
        <w:suppressAutoHyphens/>
        <w:spacing w:after="0" w:line="240" w:lineRule="auto"/>
        <w:ind w:left="426" w:hanging="426"/>
        <w:jc w:val="both"/>
        <w:rPr>
          <w:rFonts w:ascii="Verdana" w:eastAsia="Times New Roman" w:hAnsi="Verdana" w:cs="Times New Roman"/>
          <w:kern w:val="1"/>
          <w:sz w:val="21"/>
          <w:szCs w:val="21"/>
          <w:lang w:eastAsia="hi-IN" w:bidi="hi-IN"/>
        </w:rPr>
      </w:pPr>
      <w:r w:rsidRPr="0028162F">
        <w:rPr>
          <w:rFonts w:ascii="Verdana" w:eastAsia="Times New Roman" w:hAnsi="Verdana" w:cs="Times New Roman"/>
          <w:kern w:val="1"/>
          <w:sz w:val="21"/>
          <w:szCs w:val="21"/>
          <w:lang w:eastAsia="hi-IN" w:bidi="hi-IN"/>
        </w:rPr>
        <w:lastRenderedPageBreak/>
        <w:t>*</w:t>
      </w:r>
      <w:r w:rsidRPr="0028162F">
        <w:rPr>
          <w:rFonts w:ascii="Verdana" w:eastAsia="Times New Roman" w:hAnsi="Verdana" w:cs="Times New Roman"/>
          <w:kern w:val="1"/>
          <w:sz w:val="21"/>
          <w:szCs w:val="21"/>
          <w:lang w:eastAsia="hi-IN" w:bidi="hi-IN"/>
        </w:rPr>
        <w:tab/>
      </w:r>
      <w:r w:rsidRPr="0028162F">
        <w:rPr>
          <w:rFonts w:ascii="Verdana" w:eastAsia="Times New Roman" w:hAnsi="Verdana" w:cs="Times New Roman"/>
          <w:kern w:val="1"/>
          <w:sz w:val="21"/>
          <w:szCs w:val="21"/>
          <w:u w:val="single"/>
          <w:lang w:eastAsia="hi-IN" w:bidi="hi-IN"/>
        </w:rPr>
        <w:t>PROCLAMAZIONE DELLO STATO DI AGITAZIONE SETTORE SCUOLA E INTERRUZIONE DELLE RELAZIONI SINDACALI CON IL MINISTERO DELL’ISTRUZIONE</w:t>
      </w:r>
    </w:p>
    <w:p w14:paraId="385F42BF" w14:textId="77777777" w:rsidR="0028162F" w:rsidRPr="0028162F" w:rsidRDefault="0028162F" w:rsidP="0028162F">
      <w:pPr>
        <w:widowControl w:val="0"/>
        <w:tabs>
          <w:tab w:val="left" w:pos="426"/>
        </w:tabs>
        <w:suppressAutoHyphens/>
        <w:spacing w:after="0" w:line="240" w:lineRule="auto"/>
        <w:jc w:val="both"/>
        <w:rPr>
          <w:rFonts w:ascii="Verdana" w:eastAsia="Times New Roman" w:hAnsi="Verdana" w:cs="Times New Roman"/>
          <w:kern w:val="1"/>
          <w:sz w:val="21"/>
          <w:szCs w:val="21"/>
          <w:lang w:eastAsia="hi-IN" w:bidi="hi-IN"/>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38"/>
        <w:gridCol w:w="2444"/>
        <w:gridCol w:w="2368"/>
        <w:gridCol w:w="2388"/>
      </w:tblGrid>
      <w:tr w:rsidR="0028162F" w:rsidRPr="0028162F" w14:paraId="7C6A1090" w14:textId="77777777" w:rsidTr="00DF5B35">
        <w:trPr>
          <w:jc w:val="center"/>
        </w:trPr>
        <w:tc>
          <w:tcPr>
            <w:tcW w:w="2481" w:type="dxa"/>
          </w:tcPr>
          <w:p w14:paraId="39906E48"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57FC8B11" wp14:editId="0E6FF6B4">
                  <wp:extent cx="1343025" cy="525531"/>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ccgil_nuovo.jpg"/>
                          <pic:cNvPicPr/>
                        </pic:nvPicPr>
                        <pic:blipFill>
                          <a:blip r:embed="rId5">
                            <a:extLst>
                              <a:ext uri="{28A0092B-C50C-407E-A947-70E740481C1C}">
                                <a14:useLocalDpi xmlns:a14="http://schemas.microsoft.com/office/drawing/2010/main" val="0"/>
                              </a:ext>
                            </a:extLst>
                          </a:blip>
                          <a:stretch>
                            <a:fillRect/>
                          </a:stretch>
                        </pic:blipFill>
                        <pic:spPr>
                          <a:xfrm>
                            <a:off x="0" y="0"/>
                            <a:ext cx="1383834" cy="541500"/>
                          </a:xfrm>
                          <a:prstGeom prst="rect">
                            <a:avLst/>
                          </a:prstGeom>
                        </pic:spPr>
                      </pic:pic>
                    </a:graphicData>
                  </a:graphic>
                </wp:inline>
              </w:drawing>
            </w:r>
          </w:p>
        </w:tc>
        <w:tc>
          <w:tcPr>
            <w:tcW w:w="2480" w:type="dxa"/>
          </w:tcPr>
          <w:p w14:paraId="74E39246"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7857FD9A" wp14:editId="62A8EF36">
                  <wp:extent cx="1381125" cy="409829"/>
                  <wp:effectExtent l="0" t="0" r="0"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il-logo.png"/>
                          <pic:cNvPicPr/>
                        </pic:nvPicPr>
                        <pic:blipFill>
                          <a:blip r:embed="rId6">
                            <a:extLst>
                              <a:ext uri="{28A0092B-C50C-407E-A947-70E740481C1C}">
                                <a14:useLocalDpi xmlns:a14="http://schemas.microsoft.com/office/drawing/2010/main" val="0"/>
                              </a:ext>
                            </a:extLst>
                          </a:blip>
                          <a:stretch>
                            <a:fillRect/>
                          </a:stretch>
                        </pic:blipFill>
                        <pic:spPr>
                          <a:xfrm>
                            <a:off x="0" y="0"/>
                            <a:ext cx="1440137" cy="427340"/>
                          </a:xfrm>
                          <a:prstGeom prst="rect">
                            <a:avLst/>
                          </a:prstGeom>
                        </pic:spPr>
                      </pic:pic>
                    </a:graphicData>
                  </a:graphic>
                </wp:inline>
              </w:drawing>
            </w:r>
          </w:p>
        </w:tc>
        <w:tc>
          <w:tcPr>
            <w:tcW w:w="2480" w:type="dxa"/>
          </w:tcPr>
          <w:p w14:paraId="596F8AA1"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05EDC49C" wp14:editId="0D9C4DEC">
                  <wp:extent cx="972619" cy="55245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SNALS 2021-250-SIG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2866" cy="580991"/>
                          </a:xfrm>
                          <a:prstGeom prst="rect">
                            <a:avLst/>
                          </a:prstGeom>
                        </pic:spPr>
                      </pic:pic>
                    </a:graphicData>
                  </a:graphic>
                </wp:inline>
              </w:drawing>
            </w:r>
          </w:p>
        </w:tc>
        <w:tc>
          <w:tcPr>
            <w:tcW w:w="2482" w:type="dxa"/>
          </w:tcPr>
          <w:p w14:paraId="27261E6D" w14:textId="77777777" w:rsidR="0028162F" w:rsidRPr="0028162F" w:rsidRDefault="0028162F" w:rsidP="0028162F">
            <w:pPr>
              <w:widowControl w:val="0"/>
              <w:suppressAutoHyphens/>
              <w:jc w:val="center"/>
              <w:rPr>
                <w:rFonts w:ascii="Tahoma" w:hAnsi="Tahoma" w:cs="Tahoma"/>
                <w:kern w:val="1"/>
                <w:lang w:eastAsia="hi-IN" w:bidi="hi-IN"/>
              </w:rPr>
            </w:pPr>
            <w:r w:rsidRPr="0028162F">
              <w:rPr>
                <w:rFonts w:ascii="Tahoma" w:hAnsi="Tahoma" w:cs="Tahoma"/>
                <w:noProof/>
                <w:kern w:val="1"/>
                <w:lang w:eastAsia="hi-IN" w:bidi="hi-IN"/>
              </w:rPr>
              <w:drawing>
                <wp:inline distT="0" distB="0" distL="0" distR="0" wp14:anchorId="40660185" wp14:editId="24551A4B">
                  <wp:extent cx="1060607" cy="485775"/>
                  <wp:effectExtent l="0" t="0" r="635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GildaUnams.jpg"/>
                          <pic:cNvPicPr/>
                        </pic:nvPicPr>
                        <pic:blipFill>
                          <a:blip r:embed="rId8">
                            <a:extLst>
                              <a:ext uri="{28A0092B-C50C-407E-A947-70E740481C1C}">
                                <a14:useLocalDpi xmlns:a14="http://schemas.microsoft.com/office/drawing/2010/main" val="0"/>
                              </a:ext>
                            </a:extLst>
                          </a:blip>
                          <a:stretch>
                            <a:fillRect/>
                          </a:stretch>
                        </pic:blipFill>
                        <pic:spPr>
                          <a:xfrm>
                            <a:off x="0" y="0"/>
                            <a:ext cx="1087405" cy="498049"/>
                          </a:xfrm>
                          <a:prstGeom prst="rect">
                            <a:avLst/>
                          </a:prstGeom>
                        </pic:spPr>
                      </pic:pic>
                    </a:graphicData>
                  </a:graphic>
                </wp:inline>
              </w:drawing>
            </w:r>
          </w:p>
        </w:tc>
      </w:tr>
    </w:tbl>
    <w:p w14:paraId="0C0A63C5" w14:textId="77777777" w:rsidR="0028162F" w:rsidRPr="0028162F" w:rsidRDefault="0028162F" w:rsidP="0028162F">
      <w:pPr>
        <w:widowControl w:val="0"/>
        <w:tabs>
          <w:tab w:val="left" w:pos="426"/>
        </w:tabs>
        <w:suppressAutoHyphens/>
        <w:spacing w:after="0" w:line="240" w:lineRule="auto"/>
        <w:jc w:val="both"/>
        <w:rPr>
          <w:rFonts w:ascii="Verdana" w:eastAsia="Times New Roman" w:hAnsi="Verdana" w:cs="Times New Roman"/>
          <w:kern w:val="1"/>
          <w:sz w:val="21"/>
          <w:szCs w:val="21"/>
          <w:lang w:eastAsia="hi-IN" w:bidi="hi-IN"/>
        </w:rPr>
      </w:pPr>
    </w:p>
    <w:p w14:paraId="05A22EFF" w14:textId="77777777" w:rsidR="0028162F" w:rsidRPr="0028162F" w:rsidRDefault="0028162F" w:rsidP="0028162F">
      <w:pPr>
        <w:widowControl w:val="0"/>
        <w:tabs>
          <w:tab w:val="left" w:pos="426"/>
        </w:tabs>
        <w:suppressAutoHyphens/>
        <w:spacing w:after="0" w:line="240" w:lineRule="auto"/>
        <w:jc w:val="both"/>
        <w:rPr>
          <w:rFonts w:ascii="Verdana" w:eastAsia="Times New Roman" w:hAnsi="Verdana" w:cs="Times New Roman"/>
          <w:kern w:val="1"/>
          <w:sz w:val="21"/>
          <w:szCs w:val="21"/>
          <w:lang w:eastAsia="hi-IN" w:bidi="hi-IN"/>
        </w:rPr>
      </w:pPr>
    </w:p>
    <w:p w14:paraId="39F1A97B"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b/>
          <w:bCs/>
          <w:kern w:val="1"/>
          <w:sz w:val="21"/>
          <w:szCs w:val="21"/>
          <w:lang w:eastAsia="hi-IN" w:bidi="hi-IN"/>
        </w:rPr>
        <w:t>FLC Cgil, UIL Scuola, Snals-</w:t>
      </w:r>
      <w:proofErr w:type="spellStart"/>
      <w:r w:rsidRPr="0028162F">
        <w:rPr>
          <w:rFonts w:ascii="Arial" w:eastAsia="Times New Roman" w:hAnsi="Arial" w:cs="Arial"/>
          <w:b/>
          <w:bCs/>
          <w:kern w:val="1"/>
          <w:sz w:val="21"/>
          <w:szCs w:val="21"/>
          <w:lang w:eastAsia="hi-IN" w:bidi="hi-IN"/>
        </w:rPr>
        <w:t>Confsal</w:t>
      </w:r>
      <w:proofErr w:type="spellEnd"/>
      <w:r w:rsidRPr="0028162F">
        <w:rPr>
          <w:rFonts w:ascii="Arial" w:eastAsia="Times New Roman" w:hAnsi="Arial" w:cs="Arial"/>
          <w:b/>
          <w:bCs/>
          <w:kern w:val="1"/>
          <w:sz w:val="21"/>
          <w:szCs w:val="21"/>
          <w:lang w:eastAsia="hi-IN" w:bidi="hi-IN"/>
        </w:rPr>
        <w:t xml:space="preserve"> e Gilda </w:t>
      </w:r>
      <w:proofErr w:type="spellStart"/>
      <w:r w:rsidRPr="0028162F">
        <w:rPr>
          <w:rFonts w:ascii="Arial" w:eastAsia="Times New Roman" w:hAnsi="Arial" w:cs="Arial"/>
          <w:b/>
          <w:bCs/>
          <w:kern w:val="1"/>
          <w:sz w:val="21"/>
          <w:szCs w:val="21"/>
          <w:lang w:eastAsia="hi-IN" w:bidi="hi-IN"/>
        </w:rPr>
        <w:t>Unams</w:t>
      </w:r>
      <w:proofErr w:type="spellEnd"/>
      <w:r w:rsidRPr="0028162F">
        <w:rPr>
          <w:rFonts w:ascii="Arial" w:eastAsia="Times New Roman" w:hAnsi="Arial" w:cs="Arial"/>
          <w:b/>
          <w:bCs/>
          <w:kern w:val="1"/>
          <w:sz w:val="21"/>
          <w:szCs w:val="21"/>
          <w:lang w:eastAsia="hi-IN" w:bidi="hi-IN"/>
        </w:rPr>
        <w:t xml:space="preserve"> </w:t>
      </w:r>
      <w:r w:rsidRPr="0028162F">
        <w:rPr>
          <w:rFonts w:ascii="Arial" w:eastAsia="Times New Roman" w:hAnsi="Arial" w:cs="Arial"/>
          <w:kern w:val="1"/>
          <w:sz w:val="21"/>
          <w:szCs w:val="21"/>
          <w:lang w:eastAsia="hi-IN" w:bidi="hi-IN"/>
        </w:rPr>
        <w:t>hanno presentato nota ufficiale al Ministero del Lavoro, al Ministero dell'Istruzione e alla Commissione Garanzia, di proclamazione dello stato di agitazione e alla richiesta di esperimento di tentativo di conciliazione.</w:t>
      </w:r>
    </w:p>
    <w:p w14:paraId="06FF9A0C"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p>
    <w:p w14:paraId="16C560FB"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 xml:space="preserve">La nota ufficiale a firma dei quattro Segretari generali, partita ieri sera, </w:t>
      </w:r>
      <w:r w:rsidRPr="0028162F">
        <w:rPr>
          <w:rFonts w:ascii="Arial" w:eastAsia="Times New Roman" w:hAnsi="Arial" w:cs="Arial"/>
          <w:b/>
          <w:bCs/>
          <w:kern w:val="1"/>
          <w:sz w:val="21"/>
          <w:szCs w:val="21"/>
          <w:lang w:eastAsia="hi-IN" w:bidi="hi-IN"/>
        </w:rPr>
        <w:t xml:space="preserve">interrompe dunque le relazioni sindacali con il ministero dell’Istruzione </w:t>
      </w:r>
      <w:r w:rsidRPr="0028162F">
        <w:rPr>
          <w:rFonts w:ascii="Arial" w:eastAsia="Times New Roman" w:hAnsi="Arial" w:cs="Arial"/>
          <w:kern w:val="1"/>
          <w:sz w:val="21"/>
          <w:szCs w:val="21"/>
          <w:lang w:eastAsia="hi-IN" w:bidi="hi-IN"/>
        </w:rPr>
        <w:t>e apre la strada a forme ampie di mobilitazione. La convocazione del ministro fissata per domani andrà aggiornata in un nuovo confronto di natura formale che includa i temi della protesta in atto.</w:t>
      </w:r>
    </w:p>
    <w:p w14:paraId="2D262D84"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Non è esclusa alcuna forma di protesta compreso lo sciopero – sottolineano i segretari generali – che viene considerato uno strumento e non un obiettivo perché non c‘è alcuna intenzione di accentuare le spaccature presenti nel Paese, né di minare la necessaria coesione sociale in un momento difficile e in una trattativa complessa ma serve la disponibilità e la volontà politica di giungere a soluzioni condivise, sia economiche che giuridiche, che riguardino l’insieme del personale della scuola che ora appaiono veramente troppo lontane e disattese dalla legge di Bilancio.</w:t>
      </w:r>
    </w:p>
    <w:p w14:paraId="2CACDA80"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b/>
          <w:bCs/>
          <w:kern w:val="1"/>
          <w:sz w:val="21"/>
          <w:szCs w:val="21"/>
          <w:lang w:eastAsia="hi-IN" w:bidi="hi-IN"/>
        </w:rPr>
        <w:t>Risorse per il rinnovo del contratto</w:t>
      </w:r>
      <w:r w:rsidRPr="0028162F">
        <w:rPr>
          <w:rFonts w:ascii="Arial" w:eastAsia="Times New Roman" w:hAnsi="Arial" w:cs="Arial"/>
          <w:kern w:val="1"/>
          <w:sz w:val="21"/>
          <w:szCs w:val="21"/>
          <w:lang w:eastAsia="hi-IN" w:bidi="hi-IN"/>
        </w:rPr>
        <w:t xml:space="preserve">, quelle da inserire nella Legge di Bilancio e interventi normativi destinati al personale, per </w:t>
      </w:r>
      <w:r w:rsidRPr="0028162F">
        <w:rPr>
          <w:rFonts w:ascii="Arial" w:eastAsia="Times New Roman" w:hAnsi="Arial" w:cs="Arial"/>
          <w:b/>
          <w:bCs/>
          <w:kern w:val="1"/>
          <w:sz w:val="21"/>
          <w:szCs w:val="21"/>
          <w:lang w:eastAsia="hi-IN" w:bidi="hi-IN"/>
        </w:rPr>
        <w:t>l’eliminazione di vincoli e strettoie burocratiche</w:t>
      </w:r>
      <w:r w:rsidRPr="0028162F">
        <w:rPr>
          <w:rFonts w:ascii="Arial" w:eastAsia="Times New Roman" w:hAnsi="Arial" w:cs="Arial"/>
          <w:kern w:val="1"/>
          <w:sz w:val="21"/>
          <w:szCs w:val="21"/>
          <w:lang w:eastAsia="hi-IN" w:bidi="hi-IN"/>
        </w:rPr>
        <w:t>, sono i nodi da scogliere.</w:t>
      </w:r>
    </w:p>
    <w:p w14:paraId="7E472727"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 xml:space="preserve">Il </w:t>
      </w:r>
      <w:r w:rsidRPr="0028162F">
        <w:rPr>
          <w:rFonts w:ascii="Arial" w:eastAsia="Times New Roman" w:hAnsi="Arial" w:cs="Arial"/>
          <w:b/>
          <w:bCs/>
          <w:kern w:val="1"/>
          <w:sz w:val="21"/>
          <w:szCs w:val="21"/>
          <w:lang w:eastAsia="hi-IN" w:bidi="hi-IN"/>
        </w:rPr>
        <w:t xml:space="preserve">rinnovo del contratto </w:t>
      </w:r>
      <w:r w:rsidRPr="0028162F">
        <w:rPr>
          <w:rFonts w:ascii="Arial" w:eastAsia="Times New Roman" w:hAnsi="Arial" w:cs="Arial"/>
          <w:kern w:val="1"/>
          <w:sz w:val="21"/>
          <w:szCs w:val="21"/>
          <w:lang w:eastAsia="hi-IN" w:bidi="hi-IN"/>
        </w:rPr>
        <w:t>è uno dei punti centrali: «Il CCNL 2016-2018 – si legge nella nota inviata - già scaduto al 31/12/2018, è stato formalmente disdettato ma le risorse stanziate per il rinnovo nella legge di Bilancio 2022 sono assolutamente insufficienti per concludere la trattativa e contengono vincoli inaccettabili che ostacolerebbero qualunque conclusione positiva del negoziato contrattuale. Occorrono inoltre risorse aggiuntive per ridurre il divario esistente tra le retribuzioni del settore, a parità di titoli di studio, alla media di quelle del comparto pubblico».</w:t>
      </w:r>
    </w:p>
    <w:p w14:paraId="0AB60E63"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 xml:space="preserve">Il </w:t>
      </w:r>
      <w:r w:rsidRPr="0028162F">
        <w:rPr>
          <w:rFonts w:ascii="Arial" w:eastAsia="Times New Roman" w:hAnsi="Arial" w:cs="Arial"/>
          <w:b/>
          <w:bCs/>
          <w:kern w:val="1"/>
          <w:sz w:val="21"/>
          <w:szCs w:val="21"/>
          <w:lang w:eastAsia="hi-IN" w:bidi="hi-IN"/>
        </w:rPr>
        <w:t xml:space="preserve">superamento delle incursioni legislative in tema di contratto </w:t>
      </w:r>
      <w:r w:rsidRPr="0028162F">
        <w:rPr>
          <w:rFonts w:ascii="Arial" w:eastAsia="Times New Roman" w:hAnsi="Arial" w:cs="Arial"/>
          <w:kern w:val="1"/>
          <w:sz w:val="21"/>
          <w:szCs w:val="21"/>
          <w:lang w:eastAsia="hi-IN" w:bidi="hi-IN"/>
        </w:rPr>
        <w:t xml:space="preserve">è questione da risolvere – non si può scrivere il contratto in Legge di Bilancio, affermano </w:t>
      </w:r>
      <w:r w:rsidRPr="0028162F">
        <w:rPr>
          <w:rFonts w:ascii="Arial" w:eastAsia="Times New Roman" w:hAnsi="Arial" w:cs="Arial"/>
          <w:b/>
          <w:bCs/>
          <w:kern w:val="1"/>
          <w:sz w:val="21"/>
          <w:szCs w:val="21"/>
          <w:lang w:eastAsia="hi-IN" w:bidi="hi-IN"/>
        </w:rPr>
        <w:t xml:space="preserve">Sinopoli, Turi, Serafini e Di Meglio </w:t>
      </w:r>
      <w:r w:rsidRPr="0028162F">
        <w:rPr>
          <w:rFonts w:ascii="Arial" w:eastAsia="Times New Roman" w:hAnsi="Arial" w:cs="Arial"/>
          <w:kern w:val="1"/>
          <w:sz w:val="21"/>
          <w:szCs w:val="21"/>
          <w:lang w:eastAsia="hi-IN" w:bidi="hi-IN"/>
        </w:rPr>
        <w:t>- «va affermata la centralità delle prerogative contrattuali rispetto alla legge come strumento di potenziamento della funzione unificante che il sistema di Istruzione e Ricerca svolge per l’intero Paese».</w:t>
      </w:r>
    </w:p>
    <w:p w14:paraId="0552B254"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FLC Cgil, UIL Scuola, Snals-</w:t>
      </w:r>
      <w:proofErr w:type="spellStart"/>
      <w:r w:rsidRPr="0028162F">
        <w:rPr>
          <w:rFonts w:ascii="Arial" w:eastAsia="Times New Roman" w:hAnsi="Arial" w:cs="Arial"/>
          <w:kern w:val="1"/>
          <w:sz w:val="21"/>
          <w:szCs w:val="21"/>
          <w:lang w:eastAsia="hi-IN" w:bidi="hi-IN"/>
        </w:rPr>
        <w:t>Confsal</w:t>
      </w:r>
      <w:proofErr w:type="spellEnd"/>
      <w:r w:rsidRPr="0028162F">
        <w:rPr>
          <w:rFonts w:ascii="Arial" w:eastAsia="Times New Roman" w:hAnsi="Arial" w:cs="Arial"/>
          <w:kern w:val="1"/>
          <w:sz w:val="21"/>
          <w:szCs w:val="21"/>
          <w:lang w:eastAsia="hi-IN" w:bidi="hi-IN"/>
        </w:rPr>
        <w:t xml:space="preserve"> e Gilda «giudicano inaccettabile l’intervento unilaterale su materie di competenza della contrattazione quali la mobilità, la formazione, la valorizzazione professionale e in generale su tutti gli aspetti attinenti al rapporto di lavoro».</w:t>
      </w:r>
    </w:p>
    <w:p w14:paraId="508FE322"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b/>
          <w:bCs/>
          <w:kern w:val="1"/>
          <w:sz w:val="21"/>
          <w:szCs w:val="21"/>
          <w:lang w:eastAsia="hi-IN" w:bidi="hi-IN"/>
        </w:rPr>
      </w:pPr>
      <w:r w:rsidRPr="0028162F">
        <w:rPr>
          <w:rFonts w:ascii="Arial" w:eastAsia="Times New Roman" w:hAnsi="Arial" w:cs="Arial"/>
          <w:b/>
          <w:bCs/>
          <w:kern w:val="1"/>
          <w:sz w:val="21"/>
          <w:szCs w:val="21"/>
          <w:lang w:eastAsia="hi-IN" w:bidi="hi-IN"/>
        </w:rPr>
        <w:t xml:space="preserve">Organici, precari, personale Ata </w:t>
      </w:r>
      <w:r w:rsidRPr="0028162F">
        <w:rPr>
          <w:rFonts w:ascii="Arial" w:eastAsia="Times New Roman" w:hAnsi="Arial" w:cs="Arial"/>
          <w:kern w:val="1"/>
          <w:sz w:val="21"/>
          <w:szCs w:val="21"/>
          <w:lang w:eastAsia="hi-IN" w:bidi="hi-IN"/>
        </w:rPr>
        <w:t xml:space="preserve">sono i settori sui quali è più urgente un intervento e per i quali si rivendicano </w:t>
      </w:r>
      <w:r w:rsidRPr="0028162F">
        <w:rPr>
          <w:rFonts w:ascii="Arial" w:eastAsia="Times New Roman" w:hAnsi="Arial" w:cs="Arial"/>
          <w:b/>
          <w:bCs/>
          <w:kern w:val="1"/>
          <w:sz w:val="21"/>
          <w:szCs w:val="21"/>
          <w:lang w:eastAsia="hi-IN" w:bidi="hi-IN"/>
        </w:rPr>
        <w:t xml:space="preserve">incrementi di organico </w:t>
      </w:r>
      <w:r w:rsidRPr="0028162F">
        <w:rPr>
          <w:rFonts w:ascii="Arial" w:eastAsia="Times New Roman" w:hAnsi="Arial" w:cs="Arial"/>
          <w:kern w:val="1"/>
          <w:sz w:val="21"/>
          <w:szCs w:val="21"/>
          <w:lang w:eastAsia="hi-IN" w:bidi="hi-IN"/>
        </w:rPr>
        <w:t xml:space="preserve">e </w:t>
      </w:r>
      <w:r w:rsidRPr="0028162F">
        <w:rPr>
          <w:rFonts w:ascii="Arial" w:eastAsia="Times New Roman" w:hAnsi="Arial" w:cs="Arial"/>
          <w:b/>
          <w:bCs/>
          <w:kern w:val="1"/>
          <w:sz w:val="21"/>
          <w:szCs w:val="21"/>
          <w:lang w:eastAsia="hi-IN" w:bidi="hi-IN"/>
        </w:rPr>
        <w:t>superamento dei blocchi della mobilità.</w:t>
      </w:r>
    </w:p>
    <w:p w14:paraId="3B09660B"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 xml:space="preserve">Che fine ha fatto l’applicazione del </w:t>
      </w:r>
      <w:r w:rsidRPr="0028162F">
        <w:rPr>
          <w:rFonts w:ascii="Arial" w:eastAsia="Times New Roman" w:hAnsi="Arial" w:cs="Arial"/>
          <w:b/>
          <w:bCs/>
          <w:kern w:val="1"/>
          <w:sz w:val="21"/>
          <w:szCs w:val="21"/>
          <w:lang w:eastAsia="hi-IN" w:bidi="hi-IN"/>
        </w:rPr>
        <w:t xml:space="preserve">Patto per la Scuola </w:t>
      </w:r>
      <w:r w:rsidRPr="0028162F">
        <w:rPr>
          <w:rFonts w:ascii="Arial" w:eastAsia="Times New Roman" w:hAnsi="Arial" w:cs="Arial"/>
          <w:kern w:val="1"/>
          <w:sz w:val="21"/>
          <w:szCs w:val="21"/>
          <w:lang w:eastAsia="hi-IN" w:bidi="hi-IN"/>
        </w:rPr>
        <w:t>firmato a maggio scorso? Va data applicazione a quell’accordo – sottolineano i quattro Segretari.</w:t>
      </w:r>
    </w:p>
    <w:p w14:paraId="729C93E7"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 xml:space="preserve">Un richiamo forte viene fatto alla </w:t>
      </w:r>
      <w:r w:rsidRPr="0028162F">
        <w:rPr>
          <w:rFonts w:ascii="Arial" w:eastAsia="Times New Roman" w:hAnsi="Arial" w:cs="Arial"/>
          <w:b/>
          <w:bCs/>
          <w:kern w:val="1"/>
          <w:sz w:val="21"/>
          <w:szCs w:val="21"/>
          <w:lang w:eastAsia="hi-IN" w:bidi="hi-IN"/>
        </w:rPr>
        <w:t>centralità della didattica e alla comunità educante</w:t>
      </w:r>
      <w:r w:rsidRPr="0028162F">
        <w:rPr>
          <w:rFonts w:ascii="Arial" w:eastAsia="Times New Roman" w:hAnsi="Arial" w:cs="Arial"/>
          <w:kern w:val="1"/>
          <w:sz w:val="21"/>
          <w:szCs w:val="21"/>
          <w:lang w:eastAsia="hi-IN" w:bidi="hi-IN"/>
        </w:rPr>
        <w:t>, alla sburocratizzazione del lavoro e alla semplificazione amministrativa.</w:t>
      </w:r>
    </w:p>
    <w:p w14:paraId="7BE2F1EF"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 xml:space="preserve">Netto no ad ogni forma di </w:t>
      </w:r>
      <w:r w:rsidRPr="0028162F">
        <w:rPr>
          <w:rFonts w:ascii="Arial" w:eastAsia="Times New Roman" w:hAnsi="Arial" w:cs="Arial"/>
          <w:b/>
          <w:bCs/>
          <w:kern w:val="1"/>
          <w:sz w:val="21"/>
          <w:szCs w:val="21"/>
          <w:lang w:eastAsia="hi-IN" w:bidi="hi-IN"/>
        </w:rPr>
        <w:t xml:space="preserve">autonomia differenziata </w:t>
      </w:r>
      <w:r w:rsidRPr="0028162F">
        <w:rPr>
          <w:rFonts w:ascii="Arial" w:eastAsia="Times New Roman" w:hAnsi="Arial" w:cs="Arial"/>
          <w:kern w:val="1"/>
          <w:sz w:val="21"/>
          <w:szCs w:val="21"/>
          <w:lang w:eastAsia="hi-IN" w:bidi="hi-IN"/>
        </w:rPr>
        <w:t>e ad ogni iniziativa di devoluzione delle competenze in materia di istruzione.</w:t>
      </w:r>
    </w:p>
    <w:p w14:paraId="4C68691E" w14:textId="77777777" w:rsidR="0028162F" w:rsidRPr="0028162F" w:rsidRDefault="0028162F" w:rsidP="0028162F">
      <w:pPr>
        <w:widowControl w:val="0"/>
        <w:suppressAutoHyphens/>
        <w:autoSpaceDE w:val="0"/>
        <w:autoSpaceDN w:val="0"/>
        <w:adjustRightInd w:val="0"/>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Nelle more della procedura di conciliazione il personale tutto, docenti ed ATA, si asterrà da ogni attività aggiuntiva, non prevista nel relativo mansionario, In particolare i DSGA f.f. rimetteranno il loro contratto nelle mani del dirigente scolastico che lo ha sottoscritto.</w:t>
      </w:r>
    </w:p>
    <w:p w14:paraId="5C957126" w14:textId="77777777" w:rsidR="0028162F" w:rsidRPr="0028162F" w:rsidRDefault="0028162F" w:rsidP="0028162F">
      <w:pPr>
        <w:widowControl w:val="0"/>
        <w:tabs>
          <w:tab w:val="left" w:pos="426"/>
        </w:tabs>
        <w:suppressAutoHyphens/>
        <w:spacing w:before="100" w:after="0" w:line="240" w:lineRule="auto"/>
        <w:jc w:val="both"/>
        <w:rPr>
          <w:rFonts w:ascii="Arial" w:eastAsia="Times New Roman" w:hAnsi="Arial" w:cs="Arial"/>
          <w:kern w:val="1"/>
          <w:sz w:val="21"/>
          <w:szCs w:val="21"/>
          <w:lang w:eastAsia="hi-IN" w:bidi="hi-IN"/>
        </w:rPr>
      </w:pPr>
      <w:r w:rsidRPr="0028162F">
        <w:rPr>
          <w:rFonts w:ascii="Arial" w:eastAsia="Times New Roman" w:hAnsi="Arial" w:cs="Arial"/>
          <w:kern w:val="1"/>
          <w:sz w:val="21"/>
          <w:szCs w:val="21"/>
          <w:lang w:eastAsia="hi-IN" w:bidi="hi-IN"/>
        </w:rPr>
        <w:t>Contestualmente sono sospese, transitoriamente, le relazioni sindacali con il MI.</w:t>
      </w:r>
    </w:p>
    <w:p w14:paraId="6C22A30E" w14:textId="77777777" w:rsidR="0028162F" w:rsidRPr="0028162F" w:rsidRDefault="0028162F" w:rsidP="0028162F">
      <w:pPr>
        <w:widowControl w:val="0"/>
        <w:tabs>
          <w:tab w:val="left" w:pos="426"/>
        </w:tabs>
        <w:suppressAutoHyphens/>
        <w:spacing w:after="0" w:line="240" w:lineRule="auto"/>
        <w:jc w:val="both"/>
        <w:rPr>
          <w:rFonts w:ascii="Arial" w:eastAsia="Times New Roman" w:hAnsi="Arial" w:cs="Arial"/>
          <w:kern w:val="1"/>
          <w:sz w:val="21"/>
          <w:szCs w:val="21"/>
          <w:lang w:eastAsia="hi-IN" w:bidi="hi-IN"/>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6"/>
        <w:gridCol w:w="2411"/>
        <w:gridCol w:w="2406"/>
        <w:gridCol w:w="2405"/>
      </w:tblGrid>
      <w:tr w:rsidR="0028162F" w:rsidRPr="0028162F" w14:paraId="597515F5" w14:textId="77777777" w:rsidTr="00DF5B35">
        <w:trPr>
          <w:jc w:val="center"/>
        </w:trPr>
        <w:tc>
          <w:tcPr>
            <w:tcW w:w="2481" w:type="dxa"/>
          </w:tcPr>
          <w:p w14:paraId="07D651A4" w14:textId="77777777" w:rsidR="0028162F" w:rsidRPr="0028162F" w:rsidRDefault="0028162F" w:rsidP="0028162F">
            <w:pPr>
              <w:widowControl w:val="0"/>
              <w:suppressAutoHyphens/>
              <w:jc w:val="center"/>
              <w:rPr>
                <w:rFonts w:ascii="Arial" w:hAnsi="Arial" w:cs="Arial"/>
                <w:b/>
                <w:kern w:val="1"/>
                <w:sz w:val="21"/>
                <w:szCs w:val="21"/>
                <w:lang w:eastAsia="hi-IN" w:bidi="hi-IN"/>
              </w:rPr>
            </w:pPr>
            <w:proofErr w:type="spellStart"/>
            <w:r w:rsidRPr="0028162F">
              <w:rPr>
                <w:rFonts w:ascii="Arial" w:hAnsi="Arial" w:cs="Arial"/>
                <w:b/>
                <w:kern w:val="1"/>
                <w:sz w:val="21"/>
                <w:szCs w:val="21"/>
                <w:lang w:eastAsia="hi-IN" w:bidi="hi-IN"/>
              </w:rPr>
              <w:t>Flc</w:t>
            </w:r>
            <w:proofErr w:type="spellEnd"/>
            <w:r w:rsidRPr="0028162F">
              <w:rPr>
                <w:rFonts w:ascii="Arial" w:hAnsi="Arial" w:cs="Arial"/>
                <w:b/>
                <w:kern w:val="1"/>
                <w:sz w:val="21"/>
                <w:szCs w:val="21"/>
                <w:lang w:eastAsia="hi-IN" w:bidi="hi-IN"/>
              </w:rPr>
              <w:t xml:space="preserve"> CGIL</w:t>
            </w:r>
          </w:p>
        </w:tc>
        <w:tc>
          <w:tcPr>
            <w:tcW w:w="2480" w:type="dxa"/>
          </w:tcPr>
          <w:p w14:paraId="4406B64D" w14:textId="77777777" w:rsidR="0028162F" w:rsidRPr="0028162F" w:rsidRDefault="0028162F" w:rsidP="0028162F">
            <w:pPr>
              <w:widowControl w:val="0"/>
              <w:suppressAutoHyphens/>
              <w:jc w:val="center"/>
              <w:rPr>
                <w:rFonts w:ascii="Arial" w:hAnsi="Arial" w:cs="Arial"/>
                <w:b/>
                <w:kern w:val="1"/>
                <w:sz w:val="21"/>
                <w:szCs w:val="21"/>
                <w:lang w:eastAsia="hi-IN" w:bidi="hi-IN"/>
              </w:rPr>
            </w:pPr>
            <w:r w:rsidRPr="0028162F">
              <w:rPr>
                <w:rFonts w:ascii="Arial" w:hAnsi="Arial" w:cs="Arial"/>
                <w:b/>
                <w:kern w:val="1"/>
                <w:sz w:val="21"/>
                <w:szCs w:val="21"/>
                <w:lang w:eastAsia="hi-IN" w:bidi="hi-IN"/>
              </w:rPr>
              <w:t>UIL Scuola Rua</w:t>
            </w:r>
          </w:p>
        </w:tc>
        <w:tc>
          <w:tcPr>
            <w:tcW w:w="2480" w:type="dxa"/>
          </w:tcPr>
          <w:p w14:paraId="508C8AE1" w14:textId="77777777" w:rsidR="0028162F" w:rsidRPr="0028162F" w:rsidRDefault="0028162F" w:rsidP="0028162F">
            <w:pPr>
              <w:widowControl w:val="0"/>
              <w:suppressAutoHyphens/>
              <w:jc w:val="center"/>
              <w:rPr>
                <w:rFonts w:ascii="Arial" w:hAnsi="Arial" w:cs="Arial"/>
                <w:b/>
                <w:kern w:val="1"/>
                <w:sz w:val="21"/>
                <w:szCs w:val="21"/>
                <w:lang w:eastAsia="hi-IN" w:bidi="hi-IN"/>
              </w:rPr>
            </w:pPr>
            <w:r w:rsidRPr="0028162F">
              <w:rPr>
                <w:rFonts w:ascii="Arial" w:hAnsi="Arial" w:cs="Arial"/>
                <w:b/>
                <w:kern w:val="1"/>
                <w:sz w:val="21"/>
                <w:szCs w:val="21"/>
                <w:lang w:eastAsia="hi-IN" w:bidi="hi-IN"/>
              </w:rPr>
              <w:t xml:space="preserve">SNALS </w:t>
            </w:r>
            <w:proofErr w:type="spellStart"/>
            <w:r w:rsidRPr="0028162F">
              <w:rPr>
                <w:rFonts w:ascii="Arial" w:hAnsi="Arial" w:cs="Arial"/>
                <w:b/>
                <w:kern w:val="1"/>
                <w:sz w:val="21"/>
                <w:szCs w:val="21"/>
                <w:lang w:eastAsia="hi-IN" w:bidi="hi-IN"/>
              </w:rPr>
              <w:t>Confsal</w:t>
            </w:r>
            <w:proofErr w:type="spellEnd"/>
          </w:p>
        </w:tc>
        <w:tc>
          <w:tcPr>
            <w:tcW w:w="2482" w:type="dxa"/>
          </w:tcPr>
          <w:p w14:paraId="3AB8AA96" w14:textId="77777777" w:rsidR="0028162F" w:rsidRPr="0028162F" w:rsidRDefault="0028162F" w:rsidP="0028162F">
            <w:pPr>
              <w:widowControl w:val="0"/>
              <w:suppressAutoHyphens/>
              <w:jc w:val="center"/>
              <w:rPr>
                <w:rFonts w:ascii="Arial" w:hAnsi="Arial" w:cs="Arial"/>
                <w:b/>
                <w:kern w:val="1"/>
                <w:sz w:val="21"/>
                <w:szCs w:val="21"/>
                <w:lang w:eastAsia="hi-IN" w:bidi="hi-IN"/>
              </w:rPr>
            </w:pPr>
            <w:r w:rsidRPr="0028162F">
              <w:rPr>
                <w:rFonts w:ascii="Arial" w:hAnsi="Arial" w:cs="Arial"/>
                <w:b/>
                <w:kern w:val="1"/>
                <w:sz w:val="21"/>
                <w:szCs w:val="21"/>
                <w:lang w:eastAsia="hi-IN" w:bidi="hi-IN"/>
              </w:rPr>
              <w:t xml:space="preserve">GILDA </w:t>
            </w:r>
            <w:proofErr w:type="spellStart"/>
            <w:r w:rsidRPr="0028162F">
              <w:rPr>
                <w:rFonts w:ascii="Arial" w:hAnsi="Arial" w:cs="Arial"/>
                <w:b/>
                <w:kern w:val="1"/>
                <w:sz w:val="21"/>
                <w:szCs w:val="21"/>
                <w:lang w:eastAsia="hi-IN" w:bidi="hi-IN"/>
              </w:rPr>
              <w:t>Unams</w:t>
            </w:r>
            <w:proofErr w:type="spellEnd"/>
          </w:p>
        </w:tc>
      </w:tr>
      <w:tr w:rsidR="0028162F" w:rsidRPr="0028162F" w14:paraId="03EEBF2B" w14:textId="77777777" w:rsidTr="00DF5B35">
        <w:trPr>
          <w:jc w:val="center"/>
        </w:trPr>
        <w:tc>
          <w:tcPr>
            <w:tcW w:w="2481" w:type="dxa"/>
          </w:tcPr>
          <w:p w14:paraId="7BD82D32" w14:textId="77777777" w:rsidR="0028162F" w:rsidRPr="0028162F" w:rsidRDefault="0028162F" w:rsidP="0028162F">
            <w:pPr>
              <w:widowControl w:val="0"/>
              <w:suppressAutoHyphens/>
              <w:jc w:val="center"/>
              <w:rPr>
                <w:rFonts w:ascii="Arial" w:hAnsi="Arial" w:cs="Arial"/>
                <w:i/>
                <w:kern w:val="1"/>
                <w:sz w:val="21"/>
                <w:szCs w:val="21"/>
                <w:lang w:eastAsia="hi-IN" w:bidi="hi-IN"/>
              </w:rPr>
            </w:pPr>
            <w:r w:rsidRPr="0028162F">
              <w:rPr>
                <w:rFonts w:ascii="Arial" w:hAnsi="Arial" w:cs="Arial"/>
                <w:i/>
                <w:kern w:val="1"/>
                <w:sz w:val="21"/>
                <w:szCs w:val="21"/>
                <w:lang w:eastAsia="hi-IN" w:bidi="hi-IN"/>
              </w:rPr>
              <w:t>Francesco Sinopoli</w:t>
            </w:r>
          </w:p>
        </w:tc>
        <w:tc>
          <w:tcPr>
            <w:tcW w:w="2480" w:type="dxa"/>
          </w:tcPr>
          <w:p w14:paraId="2F4AC529" w14:textId="77777777" w:rsidR="0028162F" w:rsidRPr="0028162F" w:rsidRDefault="0028162F" w:rsidP="0028162F">
            <w:pPr>
              <w:widowControl w:val="0"/>
              <w:suppressAutoHyphens/>
              <w:jc w:val="center"/>
              <w:rPr>
                <w:rFonts w:ascii="Arial" w:hAnsi="Arial" w:cs="Arial"/>
                <w:i/>
                <w:kern w:val="1"/>
                <w:sz w:val="21"/>
                <w:szCs w:val="21"/>
                <w:lang w:eastAsia="hi-IN" w:bidi="hi-IN"/>
              </w:rPr>
            </w:pPr>
            <w:r w:rsidRPr="0028162F">
              <w:rPr>
                <w:rFonts w:ascii="Arial" w:hAnsi="Arial" w:cs="Arial"/>
                <w:i/>
                <w:kern w:val="1"/>
                <w:sz w:val="21"/>
                <w:szCs w:val="21"/>
                <w:lang w:eastAsia="hi-IN" w:bidi="hi-IN"/>
              </w:rPr>
              <w:t>Giuseppe Turi</w:t>
            </w:r>
          </w:p>
        </w:tc>
        <w:tc>
          <w:tcPr>
            <w:tcW w:w="2480" w:type="dxa"/>
          </w:tcPr>
          <w:p w14:paraId="627A823F" w14:textId="77777777" w:rsidR="0028162F" w:rsidRPr="0028162F" w:rsidRDefault="0028162F" w:rsidP="0028162F">
            <w:pPr>
              <w:widowControl w:val="0"/>
              <w:suppressAutoHyphens/>
              <w:jc w:val="center"/>
              <w:rPr>
                <w:rFonts w:ascii="Arial" w:hAnsi="Arial" w:cs="Arial"/>
                <w:i/>
                <w:kern w:val="1"/>
                <w:sz w:val="21"/>
                <w:szCs w:val="21"/>
                <w:lang w:eastAsia="hi-IN" w:bidi="hi-IN"/>
              </w:rPr>
            </w:pPr>
            <w:r w:rsidRPr="0028162F">
              <w:rPr>
                <w:rFonts w:ascii="Arial" w:hAnsi="Arial" w:cs="Arial"/>
                <w:i/>
                <w:kern w:val="1"/>
                <w:sz w:val="21"/>
                <w:szCs w:val="21"/>
                <w:lang w:eastAsia="hi-IN" w:bidi="hi-IN"/>
              </w:rPr>
              <w:t>Elvira Serafini</w:t>
            </w:r>
          </w:p>
        </w:tc>
        <w:tc>
          <w:tcPr>
            <w:tcW w:w="2482" w:type="dxa"/>
          </w:tcPr>
          <w:p w14:paraId="10E38840" w14:textId="77777777" w:rsidR="0028162F" w:rsidRPr="0028162F" w:rsidRDefault="0028162F" w:rsidP="0028162F">
            <w:pPr>
              <w:widowControl w:val="0"/>
              <w:suppressAutoHyphens/>
              <w:jc w:val="center"/>
              <w:rPr>
                <w:rFonts w:ascii="Arial" w:hAnsi="Arial" w:cs="Arial"/>
                <w:i/>
                <w:kern w:val="1"/>
                <w:sz w:val="21"/>
                <w:szCs w:val="21"/>
                <w:lang w:eastAsia="hi-IN" w:bidi="hi-IN"/>
              </w:rPr>
            </w:pPr>
            <w:r w:rsidRPr="0028162F">
              <w:rPr>
                <w:rFonts w:ascii="Arial" w:hAnsi="Arial" w:cs="Arial"/>
                <w:i/>
                <w:kern w:val="1"/>
                <w:sz w:val="21"/>
                <w:szCs w:val="21"/>
                <w:lang w:eastAsia="hi-IN" w:bidi="hi-IN"/>
              </w:rPr>
              <w:t>Rino Di Meglio</w:t>
            </w:r>
          </w:p>
        </w:tc>
      </w:tr>
    </w:tbl>
    <w:p w14:paraId="792885C5" w14:textId="77777777" w:rsidR="0028162F" w:rsidRPr="0028162F" w:rsidRDefault="0028162F" w:rsidP="0028162F">
      <w:pPr>
        <w:widowControl w:val="0"/>
        <w:tabs>
          <w:tab w:val="left" w:pos="426"/>
        </w:tabs>
        <w:suppressAutoHyphens/>
        <w:spacing w:after="0" w:line="240" w:lineRule="auto"/>
        <w:jc w:val="both"/>
        <w:rPr>
          <w:rFonts w:ascii="Arial" w:eastAsia="Times New Roman" w:hAnsi="Arial" w:cs="Arial"/>
          <w:kern w:val="1"/>
          <w:sz w:val="21"/>
          <w:szCs w:val="21"/>
          <w:lang w:eastAsia="hi-IN" w:bidi="hi-IN"/>
        </w:rPr>
      </w:pPr>
    </w:p>
    <w:p w14:paraId="3AA57877"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0A6F"/>
    <w:multiLevelType w:val="hybridMultilevel"/>
    <w:tmpl w:val="F68E57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D9124A"/>
    <w:multiLevelType w:val="hybridMultilevel"/>
    <w:tmpl w:val="AF5E43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21003F"/>
    <w:multiLevelType w:val="hybridMultilevel"/>
    <w:tmpl w:val="91D08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F3378EA"/>
    <w:multiLevelType w:val="hybridMultilevel"/>
    <w:tmpl w:val="D45EB4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A33472"/>
    <w:multiLevelType w:val="hybridMultilevel"/>
    <w:tmpl w:val="8F3426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2F"/>
    <w:rsid w:val="0028162F"/>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D6EA"/>
  <w15:chartTrackingRefBased/>
  <w15:docId w15:val="{A63061DB-7BF7-423A-A80B-D6CCFB6B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8162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7248</Characters>
  <Application>Microsoft Office Word</Application>
  <DocSecurity>0</DocSecurity>
  <Lines>60</Lines>
  <Paragraphs>17</Paragraphs>
  <ScaleCrop>false</ScaleCrop>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2021-11-21T16:47:00Z</dcterms:created>
  <dcterms:modified xsi:type="dcterms:W3CDTF">2021-11-21T16:48:00Z</dcterms:modified>
</cp:coreProperties>
</file>