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A4C3F" w14:textId="77777777" w:rsidR="003364A8" w:rsidRPr="003364A8" w:rsidRDefault="003364A8" w:rsidP="003364A8">
      <w:pPr>
        <w:tabs>
          <w:tab w:val="left" w:pos="426"/>
        </w:tabs>
        <w:spacing w:after="0" w:line="240" w:lineRule="auto"/>
        <w:ind w:left="426" w:hanging="426"/>
        <w:jc w:val="both"/>
        <w:rPr>
          <w:rFonts w:ascii="Verdana" w:eastAsia="Times New Roman" w:hAnsi="Verdana" w:cs="Arial"/>
          <w:sz w:val="21"/>
          <w:szCs w:val="21"/>
          <w:lang w:eastAsia="it-IT"/>
        </w:rPr>
      </w:pPr>
      <w:r w:rsidRPr="003364A8">
        <w:rPr>
          <w:rFonts w:ascii="Verdana" w:eastAsia="Times New Roman" w:hAnsi="Verdana" w:cs="Arial"/>
          <w:sz w:val="21"/>
          <w:szCs w:val="21"/>
          <w:u w:val="single"/>
          <w:lang w:eastAsia="it-IT"/>
        </w:rPr>
        <w:t>RICHIESTA ATTIVAZIONE CONFRONTO SINDACALE SU AVVIO DEL PROSSIMO ANNO SCOLASTICO</w:t>
      </w:r>
    </w:p>
    <w:p w14:paraId="556C01C6" w14:textId="77777777" w:rsidR="003364A8" w:rsidRPr="003364A8" w:rsidRDefault="003364A8" w:rsidP="003364A8">
      <w:pPr>
        <w:tabs>
          <w:tab w:val="left" w:pos="426"/>
        </w:tabs>
        <w:spacing w:after="0" w:line="240" w:lineRule="auto"/>
        <w:jc w:val="both"/>
        <w:rPr>
          <w:rFonts w:ascii="Verdana" w:eastAsia="Times New Roman" w:hAnsi="Verdana" w:cs="Arial"/>
          <w:sz w:val="21"/>
          <w:szCs w:val="21"/>
          <w:lang w:eastAsia="it-IT"/>
        </w:rPr>
      </w:pPr>
      <w:r w:rsidRPr="003364A8">
        <w:rPr>
          <w:rFonts w:ascii="Verdana" w:eastAsia="Times New Roman" w:hAnsi="Verdana" w:cs="Arial"/>
          <w:sz w:val="21"/>
          <w:szCs w:val="21"/>
          <w:lang w:eastAsia="it-IT"/>
        </w:rPr>
        <w:t>Di seguito la lettera inviata alla Ministra relativa alla richiesta di incontro sulle linee guida che le istituzioni scolastiche saranno chiamate ad osservare nella gestione delle attività didattiche nel nuovo anno scolastico:</w:t>
      </w:r>
    </w:p>
    <w:p w14:paraId="2B8CF08F" w14:textId="77777777" w:rsidR="003364A8" w:rsidRPr="003364A8" w:rsidRDefault="003364A8" w:rsidP="003364A8">
      <w:pPr>
        <w:tabs>
          <w:tab w:val="left" w:pos="426"/>
        </w:tabs>
        <w:spacing w:after="0" w:line="240" w:lineRule="auto"/>
        <w:jc w:val="both"/>
        <w:rPr>
          <w:rFonts w:ascii="Verdana" w:eastAsia="Times New Roman" w:hAnsi="Verdana" w:cs="Arial"/>
          <w:sz w:val="21"/>
          <w:szCs w:val="21"/>
          <w:lang w:eastAsia="it-IT"/>
        </w:rPr>
      </w:pPr>
    </w:p>
    <w:p w14:paraId="58F55971" w14:textId="77777777" w:rsidR="003364A8" w:rsidRPr="003364A8" w:rsidRDefault="003364A8" w:rsidP="003364A8">
      <w:pPr>
        <w:tabs>
          <w:tab w:val="left" w:pos="426"/>
        </w:tabs>
        <w:spacing w:after="0" w:line="240" w:lineRule="auto"/>
        <w:jc w:val="center"/>
        <w:rPr>
          <w:rFonts w:ascii="Verdana" w:eastAsia="Times New Roman" w:hAnsi="Verdana" w:cs="Arial"/>
          <w:sz w:val="21"/>
          <w:szCs w:val="21"/>
          <w:lang w:eastAsia="it-IT"/>
        </w:rPr>
      </w:pPr>
      <w:r w:rsidRPr="003364A8">
        <w:rPr>
          <w:rFonts w:ascii="Verdana" w:eastAsia="Times New Roman" w:hAnsi="Verdana" w:cs="Arial"/>
          <w:noProof/>
          <w:sz w:val="21"/>
          <w:szCs w:val="21"/>
          <w:lang w:eastAsia="it-IT"/>
        </w:rPr>
        <w:drawing>
          <wp:inline distT="0" distB="0" distL="0" distR="0" wp14:anchorId="23A2A506" wp14:editId="31A1997E">
            <wp:extent cx="5715000" cy="6953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sigleOKK.jpg"/>
                    <pic:cNvPicPr/>
                  </pic:nvPicPr>
                  <pic:blipFill>
                    <a:blip r:embed="rId4">
                      <a:extLst>
                        <a:ext uri="{28A0092B-C50C-407E-A947-70E740481C1C}">
                          <a14:useLocalDpi xmlns:a14="http://schemas.microsoft.com/office/drawing/2010/main" val="0"/>
                        </a:ext>
                      </a:extLst>
                    </a:blip>
                    <a:stretch>
                      <a:fillRect/>
                    </a:stretch>
                  </pic:blipFill>
                  <pic:spPr>
                    <a:xfrm>
                      <a:off x="0" y="0"/>
                      <a:ext cx="5715000" cy="695325"/>
                    </a:xfrm>
                    <a:prstGeom prst="rect">
                      <a:avLst/>
                    </a:prstGeom>
                  </pic:spPr>
                </pic:pic>
              </a:graphicData>
            </a:graphic>
          </wp:inline>
        </w:drawing>
      </w:r>
    </w:p>
    <w:p w14:paraId="5775266E" w14:textId="77777777" w:rsidR="003364A8" w:rsidRPr="003364A8" w:rsidRDefault="003364A8" w:rsidP="003364A8">
      <w:pPr>
        <w:tabs>
          <w:tab w:val="left" w:pos="426"/>
        </w:tabs>
        <w:spacing w:after="0" w:line="240" w:lineRule="auto"/>
        <w:ind w:left="3686"/>
        <w:jc w:val="both"/>
        <w:rPr>
          <w:rFonts w:ascii="Arial" w:eastAsia="Times New Roman" w:hAnsi="Arial" w:cs="Arial"/>
          <w:sz w:val="20"/>
          <w:szCs w:val="20"/>
          <w:lang w:eastAsia="it-IT"/>
        </w:rPr>
      </w:pPr>
    </w:p>
    <w:p w14:paraId="445036C2" w14:textId="77777777" w:rsidR="003364A8" w:rsidRPr="003364A8" w:rsidRDefault="003364A8" w:rsidP="003364A8">
      <w:pPr>
        <w:tabs>
          <w:tab w:val="left" w:pos="426"/>
        </w:tabs>
        <w:spacing w:after="0" w:line="240" w:lineRule="auto"/>
        <w:ind w:left="3686"/>
        <w:jc w:val="both"/>
        <w:rPr>
          <w:rFonts w:ascii="Arial" w:eastAsia="Times New Roman" w:hAnsi="Arial" w:cs="Arial"/>
          <w:sz w:val="20"/>
          <w:szCs w:val="20"/>
          <w:lang w:eastAsia="it-IT"/>
        </w:rPr>
      </w:pPr>
      <w:r w:rsidRPr="003364A8">
        <w:rPr>
          <w:rFonts w:ascii="Arial" w:eastAsia="Times New Roman" w:hAnsi="Arial" w:cs="Arial"/>
          <w:sz w:val="20"/>
          <w:szCs w:val="20"/>
          <w:lang w:eastAsia="it-IT"/>
        </w:rPr>
        <w:t>On. Lucia Azzolina</w:t>
      </w:r>
    </w:p>
    <w:p w14:paraId="5451806D" w14:textId="77777777" w:rsidR="003364A8" w:rsidRPr="003364A8" w:rsidRDefault="003364A8" w:rsidP="003364A8">
      <w:pPr>
        <w:tabs>
          <w:tab w:val="left" w:pos="426"/>
        </w:tabs>
        <w:spacing w:after="0" w:line="240" w:lineRule="auto"/>
        <w:ind w:left="3686"/>
        <w:jc w:val="both"/>
        <w:rPr>
          <w:rFonts w:ascii="Arial" w:eastAsia="Times New Roman" w:hAnsi="Arial" w:cs="Arial"/>
          <w:sz w:val="20"/>
          <w:szCs w:val="20"/>
          <w:lang w:eastAsia="it-IT"/>
        </w:rPr>
      </w:pPr>
      <w:r w:rsidRPr="003364A8">
        <w:rPr>
          <w:rFonts w:ascii="Arial" w:eastAsia="Times New Roman" w:hAnsi="Arial" w:cs="Arial"/>
          <w:sz w:val="20"/>
          <w:szCs w:val="20"/>
          <w:lang w:eastAsia="it-IT"/>
        </w:rPr>
        <w:t>Ministra dell’istruzione</w:t>
      </w:r>
    </w:p>
    <w:p w14:paraId="55B8A82B" w14:textId="77777777" w:rsidR="003364A8" w:rsidRPr="003364A8" w:rsidRDefault="003364A8" w:rsidP="003364A8">
      <w:pPr>
        <w:tabs>
          <w:tab w:val="left" w:pos="426"/>
        </w:tabs>
        <w:spacing w:after="0" w:line="240" w:lineRule="auto"/>
        <w:ind w:left="3261"/>
        <w:jc w:val="both"/>
        <w:rPr>
          <w:rFonts w:ascii="Arial" w:eastAsia="Times New Roman" w:hAnsi="Arial" w:cs="Arial"/>
          <w:sz w:val="20"/>
          <w:szCs w:val="20"/>
          <w:lang w:eastAsia="it-IT"/>
        </w:rPr>
      </w:pPr>
      <w:r w:rsidRPr="003364A8">
        <w:rPr>
          <w:rFonts w:ascii="Arial" w:eastAsia="Times New Roman" w:hAnsi="Arial" w:cs="Arial"/>
          <w:sz w:val="20"/>
          <w:szCs w:val="20"/>
          <w:lang w:eastAsia="it-IT"/>
        </w:rPr>
        <w:t>p.c.  dott. Luigi Fiorentino</w:t>
      </w:r>
    </w:p>
    <w:p w14:paraId="281859E8" w14:textId="77777777" w:rsidR="003364A8" w:rsidRPr="003364A8" w:rsidRDefault="003364A8" w:rsidP="003364A8">
      <w:pPr>
        <w:tabs>
          <w:tab w:val="left" w:pos="426"/>
        </w:tabs>
        <w:spacing w:after="0" w:line="240" w:lineRule="auto"/>
        <w:ind w:left="3686"/>
        <w:jc w:val="both"/>
        <w:rPr>
          <w:rFonts w:ascii="Arial" w:eastAsia="Times New Roman" w:hAnsi="Arial" w:cs="Arial"/>
          <w:sz w:val="20"/>
          <w:szCs w:val="20"/>
          <w:lang w:eastAsia="it-IT"/>
        </w:rPr>
      </w:pPr>
      <w:r w:rsidRPr="003364A8">
        <w:rPr>
          <w:rFonts w:ascii="Arial" w:eastAsia="Times New Roman" w:hAnsi="Arial" w:cs="Arial"/>
          <w:sz w:val="20"/>
          <w:szCs w:val="20"/>
          <w:lang w:eastAsia="it-IT"/>
        </w:rPr>
        <w:t>Capo di Gabinetto del Ministro dell’Istruzione</w:t>
      </w:r>
    </w:p>
    <w:p w14:paraId="493DDC6B" w14:textId="77777777" w:rsidR="003364A8" w:rsidRPr="003364A8" w:rsidRDefault="003364A8" w:rsidP="003364A8">
      <w:pPr>
        <w:tabs>
          <w:tab w:val="left" w:pos="426"/>
        </w:tabs>
        <w:spacing w:after="0" w:line="240" w:lineRule="auto"/>
        <w:jc w:val="both"/>
        <w:rPr>
          <w:rFonts w:ascii="Arial" w:eastAsia="Times New Roman" w:hAnsi="Arial" w:cs="Arial"/>
          <w:i/>
          <w:iCs/>
          <w:sz w:val="20"/>
          <w:szCs w:val="20"/>
          <w:lang w:eastAsia="it-IT"/>
        </w:rPr>
      </w:pPr>
    </w:p>
    <w:p w14:paraId="653DC51E" w14:textId="77777777" w:rsidR="003364A8" w:rsidRPr="003364A8" w:rsidRDefault="003364A8" w:rsidP="003364A8">
      <w:pPr>
        <w:tabs>
          <w:tab w:val="left" w:pos="426"/>
        </w:tabs>
        <w:spacing w:after="0" w:line="240" w:lineRule="auto"/>
        <w:jc w:val="both"/>
        <w:rPr>
          <w:rFonts w:ascii="Arial" w:eastAsia="Times New Roman" w:hAnsi="Arial" w:cs="Arial"/>
          <w:i/>
          <w:iCs/>
          <w:sz w:val="20"/>
          <w:szCs w:val="20"/>
          <w:lang w:eastAsia="it-IT"/>
        </w:rPr>
      </w:pPr>
      <w:r w:rsidRPr="003364A8">
        <w:rPr>
          <w:rFonts w:ascii="Arial" w:eastAsia="Times New Roman" w:hAnsi="Arial" w:cs="Arial"/>
          <w:i/>
          <w:iCs/>
          <w:sz w:val="20"/>
          <w:szCs w:val="20"/>
          <w:lang w:eastAsia="it-IT"/>
        </w:rPr>
        <w:t xml:space="preserve">Oggetto: </w:t>
      </w:r>
      <w:bookmarkStart w:id="0" w:name="_Hlk43720475"/>
      <w:r w:rsidRPr="003364A8">
        <w:rPr>
          <w:rFonts w:ascii="Arial" w:eastAsia="Times New Roman" w:hAnsi="Arial" w:cs="Arial"/>
          <w:i/>
          <w:iCs/>
          <w:sz w:val="20"/>
          <w:szCs w:val="20"/>
          <w:lang w:eastAsia="it-IT"/>
        </w:rPr>
        <w:t>richiesta attivazione confronto sindacale</w:t>
      </w:r>
      <w:bookmarkEnd w:id="0"/>
    </w:p>
    <w:p w14:paraId="0DBFFE59" w14:textId="77777777" w:rsidR="003364A8" w:rsidRPr="003364A8" w:rsidRDefault="003364A8" w:rsidP="003364A8">
      <w:pPr>
        <w:tabs>
          <w:tab w:val="left" w:pos="426"/>
        </w:tabs>
        <w:spacing w:after="0" w:line="240" w:lineRule="auto"/>
        <w:jc w:val="both"/>
        <w:rPr>
          <w:rFonts w:ascii="Arial" w:eastAsia="Times New Roman" w:hAnsi="Arial" w:cs="Arial"/>
          <w:sz w:val="20"/>
          <w:szCs w:val="20"/>
          <w:lang w:eastAsia="it-IT"/>
        </w:rPr>
      </w:pPr>
    </w:p>
    <w:p w14:paraId="198D45C5" w14:textId="77777777" w:rsidR="003364A8" w:rsidRPr="003364A8" w:rsidRDefault="003364A8" w:rsidP="003364A8">
      <w:pPr>
        <w:tabs>
          <w:tab w:val="left" w:pos="426"/>
        </w:tabs>
        <w:spacing w:before="80" w:after="0" w:line="240" w:lineRule="auto"/>
        <w:jc w:val="both"/>
        <w:rPr>
          <w:rFonts w:ascii="Arial" w:eastAsia="Times New Roman" w:hAnsi="Arial" w:cs="Arial"/>
          <w:sz w:val="20"/>
          <w:szCs w:val="20"/>
          <w:lang w:eastAsia="it-IT"/>
        </w:rPr>
      </w:pPr>
      <w:proofErr w:type="gramStart"/>
      <w:r w:rsidRPr="003364A8">
        <w:rPr>
          <w:rFonts w:ascii="Arial" w:eastAsia="Times New Roman" w:hAnsi="Arial" w:cs="Arial"/>
          <w:sz w:val="20"/>
          <w:szCs w:val="20"/>
          <w:lang w:eastAsia="it-IT"/>
        </w:rPr>
        <w:t>E’</w:t>
      </w:r>
      <w:proofErr w:type="gramEnd"/>
      <w:r w:rsidRPr="003364A8">
        <w:rPr>
          <w:rFonts w:ascii="Arial" w:eastAsia="Times New Roman" w:hAnsi="Arial" w:cs="Arial"/>
          <w:sz w:val="20"/>
          <w:szCs w:val="20"/>
          <w:lang w:eastAsia="it-IT"/>
        </w:rPr>
        <w:t xml:space="preserve"> certamente nelle attese di tutti un ritorno in sicurezza alle attività scolastiche in presenza, obiettivo per il quale va messo in atto il massimo impegno, garantendo anche le risorse necessarie per attuare in modo scrupoloso tutte le misure volte a contrastare i rischi di contagio.</w:t>
      </w:r>
    </w:p>
    <w:p w14:paraId="5BBA5B33" w14:textId="77777777" w:rsidR="003364A8" w:rsidRPr="003364A8" w:rsidRDefault="003364A8" w:rsidP="003364A8">
      <w:pPr>
        <w:tabs>
          <w:tab w:val="left" w:pos="426"/>
        </w:tabs>
        <w:spacing w:before="80" w:after="0" w:line="240" w:lineRule="auto"/>
        <w:jc w:val="both"/>
        <w:rPr>
          <w:rFonts w:ascii="Arial" w:eastAsia="Times New Roman" w:hAnsi="Arial" w:cs="Arial"/>
          <w:sz w:val="20"/>
          <w:szCs w:val="20"/>
          <w:lang w:eastAsia="it-IT"/>
        </w:rPr>
      </w:pPr>
      <w:r w:rsidRPr="003364A8">
        <w:rPr>
          <w:rFonts w:ascii="Arial" w:eastAsia="Times New Roman" w:hAnsi="Arial" w:cs="Arial"/>
          <w:sz w:val="20"/>
          <w:szCs w:val="20"/>
          <w:lang w:eastAsia="it-IT"/>
        </w:rPr>
        <w:t>A tal fine le scriventi Organizzazioni Sindacali, come già avvenuto con la sottoscrizione del protocollo d’intesa del 19 maggio u.s. per lo svolgimento in sicurezza degli esami di Stato e con la partecipazione al Tavolo Nazionale Permanente previsto dallo stesso protocollo, chiedono di attivare il preliminare confronto sindacale (CCNL art 22 coma 8 lettera a) sulle linee guida che le istituzioni scolastiche saranno chiamate ad osservare nella gestione delle attività didattiche nel nuovo anno scolastico.</w:t>
      </w:r>
    </w:p>
    <w:p w14:paraId="17499C0E" w14:textId="77777777" w:rsidR="003364A8" w:rsidRPr="003364A8" w:rsidRDefault="003364A8" w:rsidP="003364A8">
      <w:pPr>
        <w:tabs>
          <w:tab w:val="left" w:pos="426"/>
        </w:tabs>
        <w:spacing w:before="80" w:after="0" w:line="240" w:lineRule="auto"/>
        <w:jc w:val="both"/>
        <w:rPr>
          <w:rFonts w:ascii="Arial" w:eastAsia="Times New Roman" w:hAnsi="Arial" w:cs="Arial"/>
          <w:sz w:val="20"/>
          <w:szCs w:val="20"/>
          <w:lang w:eastAsia="it-IT"/>
        </w:rPr>
      </w:pPr>
      <w:r w:rsidRPr="003364A8">
        <w:rPr>
          <w:rFonts w:ascii="Arial" w:eastAsia="Times New Roman" w:hAnsi="Arial" w:cs="Arial"/>
          <w:sz w:val="20"/>
          <w:szCs w:val="20"/>
          <w:lang w:eastAsia="it-IT"/>
        </w:rPr>
        <w:t>Ciò anche in considerazione delle ripercussioni che le misure da adottare potranno avere sul rapporto di lavoro del personale, rispetto alle quali andrà anche valutata l’eventuale necessità di procedere a integrazioni della disciplina contrattuale.</w:t>
      </w:r>
    </w:p>
    <w:p w14:paraId="7DF48778" w14:textId="77777777" w:rsidR="003364A8" w:rsidRPr="003364A8" w:rsidRDefault="003364A8" w:rsidP="003364A8">
      <w:pPr>
        <w:tabs>
          <w:tab w:val="left" w:pos="426"/>
        </w:tabs>
        <w:spacing w:before="80" w:after="0" w:line="240" w:lineRule="auto"/>
        <w:jc w:val="both"/>
        <w:rPr>
          <w:rFonts w:ascii="Arial" w:eastAsia="Times New Roman" w:hAnsi="Arial" w:cs="Arial"/>
          <w:sz w:val="20"/>
          <w:szCs w:val="20"/>
          <w:lang w:eastAsia="it-IT"/>
        </w:rPr>
      </w:pPr>
      <w:r w:rsidRPr="003364A8">
        <w:rPr>
          <w:rFonts w:ascii="Arial" w:eastAsia="Times New Roman" w:hAnsi="Arial" w:cs="Arial"/>
          <w:sz w:val="20"/>
          <w:szCs w:val="20"/>
          <w:lang w:eastAsia="it-IT"/>
        </w:rPr>
        <w:t>Confidando in un positivo riscontro, si porgono distinti saluti</w:t>
      </w:r>
    </w:p>
    <w:p w14:paraId="28FE0440" w14:textId="77777777" w:rsidR="003364A8" w:rsidRPr="003364A8" w:rsidRDefault="003364A8" w:rsidP="003364A8">
      <w:pPr>
        <w:tabs>
          <w:tab w:val="left" w:pos="426"/>
        </w:tabs>
        <w:spacing w:before="80" w:after="0" w:line="240" w:lineRule="auto"/>
        <w:jc w:val="both"/>
        <w:rPr>
          <w:rFonts w:ascii="Arial" w:eastAsia="Times New Roman" w:hAnsi="Arial" w:cs="Arial"/>
          <w:sz w:val="20"/>
          <w:szCs w:val="20"/>
          <w:lang w:eastAsia="it-IT"/>
        </w:rPr>
      </w:pPr>
      <w:r w:rsidRPr="003364A8">
        <w:rPr>
          <w:rFonts w:ascii="Arial" w:eastAsia="Times New Roman" w:hAnsi="Arial" w:cs="Arial"/>
          <w:sz w:val="20"/>
          <w:szCs w:val="20"/>
          <w:lang w:eastAsia="it-IT"/>
        </w:rPr>
        <w:t>Roma, 18 giugno 2020</w:t>
      </w:r>
    </w:p>
    <w:p w14:paraId="33F5D641" w14:textId="77777777" w:rsidR="003364A8" w:rsidRPr="003364A8" w:rsidRDefault="003364A8" w:rsidP="003364A8">
      <w:pPr>
        <w:tabs>
          <w:tab w:val="left" w:pos="426"/>
        </w:tabs>
        <w:spacing w:before="80" w:after="0" w:line="240" w:lineRule="auto"/>
        <w:jc w:val="both"/>
        <w:rPr>
          <w:rFonts w:ascii="Arial" w:eastAsia="Times New Roman" w:hAnsi="Arial" w:cs="Arial"/>
          <w:sz w:val="20"/>
          <w:szCs w:val="20"/>
          <w:lang w:eastAsia="it-IT"/>
        </w:rPr>
      </w:pPr>
    </w:p>
    <w:tbl>
      <w:tblPr>
        <w:tblStyle w:val="Grigliatabel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1927"/>
        <w:gridCol w:w="1927"/>
        <w:gridCol w:w="1928"/>
        <w:gridCol w:w="1928"/>
      </w:tblGrid>
      <w:tr w:rsidR="003364A8" w:rsidRPr="003364A8" w14:paraId="332BC91D" w14:textId="77777777" w:rsidTr="009C5688">
        <w:trPr>
          <w:jc w:val="center"/>
        </w:trPr>
        <w:tc>
          <w:tcPr>
            <w:tcW w:w="1926" w:type="dxa"/>
            <w:tcMar>
              <w:top w:w="57" w:type="dxa"/>
            </w:tcMar>
          </w:tcPr>
          <w:p w14:paraId="79294EA1" w14:textId="77777777" w:rsidR="003364A8" w:rsidRPr="003364A8" w:rsidRDefault="003364A8" w:rsidP="003364A8">
            <w:pPr>
              <w:jc w:val="center"/>
              <w:rPr>
                <w:rFonts w:ascii="Arial" w:eastAsia="Times New Roman" w:hAnsi="Arial" w:cs="Arial"/>
                <w:sz w:val="20"/>
                <w:szCs w:val="20"/>
                <w:lang w:eastAsia="it-IT"/>
              </w:rPr>
            </w:pPr>
            <w:r w:rsidRPr="003364A8">
              <w:rPr>
                <w:rFonts w:ascii="Arial" w:eastAsia="Times New Roman" w:hAnsi="Arial" w:cs="Arial"/>
                <w:sz w:val="20"/>
                <w:szCs w:val="20"/>
                <w:lang w:eastAsia="it-IT"/>
              </w:rPr>
              <w:t>FLC CGIL</w:t>
            </w:r>
          </w:p>
        </w:tc>
        <w:tc>
          <w:tcPr>
            <w:tcW w:w="1926" w:type="dxa"/>
            <w:tcMar>
              <w:top w:w="57" w:type="dxa"/>
            </w:tcMar>
          </w:tcPr>
          <w:p w14:paraId="40BA8095" w14:textId="77777777" w:rsidR="003364A8" w:rsidRPr="003364A8" w:rsidRDefault="003364A8" w:rsidP="003364A8">
            <w:pPr>
              <w:jc w:val="center"/>
              <w:rPr>
                <w:rFonts w:ascii="Arial" w:eastAsia="Times New Roman" w:hAnsi="Arial" w:cs="Arial"/>
                <w:sz w:val="20"/>
                <w:szCs w:val="20"/>
                <w:lang w:eastAsia="it-IT"/>
              </w:rPr>
            </w:pPr>
            <w:r w:rsidRPr="003364A8">
              <w:rPr>
                <w:rFonts w:ascii="Arial" w:eastAsia="Times New Roman" w:hAnsi="Arial" w:cs="Arial"/>
                <w:sz w:val="20"/>
                <w:szCs w:val="20"/>
                <w:lang w:eastAsia="it-IT"/>
              </w:rPr>
              <w:t>CISL FSUR</w:t>
            </w:r>
          </w:p>
        </w:tc>
        <w:tc>
          <w:tcPr>
            <w:tcW w:w="1926" w:type="dxa"/>
            <w:tcMar>
              <w:top w:w="57" w:type="dxa"/>
            </w:tcMar>
          </w:tcPr>
          <w:p w14:paraId="4DE3A4FA" w14:textId="77777777" w:rsidR="003364A8" w:rsidRPr="003364A8" w:rsidRDefault="003364A8" w:rsidP="003364A8">
            <w:pPr>
              <w:jc w:val="center"/>
              <w:rPr>
                <w:rFonts w:ascii="Arial" w:eastAsia="Times New Roman" w:hAnsi="Arial" w:cs="Arial"/>
                <w:sz w:val="20"/>
                <w:szCs w:val="20"/>
                <w:lang w:eastAsia="it-IT"/>
              </w:rPr>
            </w:pPr>
            <w:r w:rsidRPr="003364A8">
              <w:rPr>
                <w:rFonts w:ascii="Arial" w:eastAsia="Times New Roman" w:hAnsi="Arial" w:cs="Arial"/>
                <w:sz w:val="20"/>
                <w:szCs w:val="20"/>
                <w:lang w:eastAsia="it-IT"/>
              </w:rPr>
              <w:t>UIL Scuola RUA</w:t>
            </w:r>
          </w:p>
        </w:tc>
        <w:tc>
          <w:tcPr>
            <w:tcW w:w="1927" w:type="dxa"/>
            <w:tcMar>
              <w:top w:w="57" w:type="dxa"/>
            </w:tcMar>
          </w:tcPr>
          <w:p w14:paraId="313CE449" w14:textId="77777777" w:rsidR="003364A8" w:rsidRPr="003364A8" w:rsidRDefault="003364A8" w:rsidP="003364A8">
            <w:pPr>
              <w:jc w:val="center"/>
              <w:rPr>
                <w:rFonts w:ascii="Arial" w:eastAsia="Times New Roman" w:hAnsi="Arial" w:cs="Arial"/>
                <w:sz w:val="20"/>
                <w:szCs w:val="20"/>
                <w:lang w:eastAsia="it-IT"/>
              </w:rPr>
            </w:pPr>
            <w:r w:rsidRPr="003364A8">
              <w:rPr>
                <w:rFonts w:ascii="Arial" w:eastAsia="Times New Roman" w:hAnsi="Arial" w:cs="Arial"/>
                <w:sz w:val="20"/>
                <w:szCs w:val="20"/>
                <w:lang w:eastAsia="it-IT"/>
              </w:rPr>
              <w:t xml:space="preserve">SNALS </w:t>
            </w:r>
            <w:proofErr w:type="spellStart"/>
            <w:r w:rsidRPr="003364A8">
              <w:rPr>
                <w:rFonts w:ascii="Arial" w:eastAsia="Times New Roman" w:hAnsi="Arial" w:cs="Arial"/>
                <w:sz w:val="20"/>
                <w:szCs w:val="20"/>
                <w:lang w:eastAsia="it-IT"/>
              </w:rPr>
              <w:t>Confsal</w:t>
            </w:r>
            <w:proofErr w:type="spellEnd"/>
          </w:p>
        </w:tc>
        <w:tc>
          <w:tcPr>
            <w:tcW w:w="1927" w:type="dxa"/>
            <w:tcMar>
              <w:top w:w="57" w:type="dxa"/>
            </w:tcMar>
          </w:tcPr>
          <w:p w14:paraId="080E99B7" w14:textId="77777777" w:rsidR="003364A8" w:rsidRPr="003364A8" w:rsidRDefault="003364A8" w:rsidP="003364A8">
            <w:pPr>
              <w:jc w:val="center"/>
              <w:rPr>
                <w:rFonts w:ascii="Arial" w:eastAsia="Times New Roman" w:hAnsi="Arial" w:cs="Arial"/>
                <w:sz w:val="20"/>
                <w:szCs w:val="20"/>
                <w:lang w:eastAsia="it-IT"/>
              </w:rPr>
            </w:pPr>
            <w:r w:rsidRPr="003364A8">
              <w:rPr>
                <w:rFonts w:ascii="Arial" w:eastAsia="Times New Roman" w:hAnsi="Arial" w:cs="Arial"/>
                <w:sz w:val="20"/>
                <w:szCs w:val="20"/>
                <w:lang w:eastAsia="it-IT"/>
              </w:rPr>
              <w:t xml:space="preserve">GILDA </w:t>
            </w:r>
            <w:proofErr w:type="spellStart"/>
            <w:r w:rsidRPr="003364A8">
              <w:rPr>
                <w:rFonts w:ascii="Arial" w:eastAsia="Times New Roman" w:hAnsi="Arial" w:cs="Arial"/>
                <w:sz w:val="20"/>
                <w:szCs w:val="20"/>
                <w:lang w:eastAsia="it-IT"/>
              </w:rPr>
              <w:t>Unams</w:t>
            </w:r>
            <w:proofErr w:type="spellEnd"/>
          </w:p>
        </w:tc>
      </w:tr>
      <w:tr w:rsidR="003364A8" w:rsidRPr="003364A8" w14:paraId="307C179D" w14:textId="77777777" w:rsidTr="009C5688">
        <w:trPr>
          <w:jc w:val="center"/>
        </w:trPr>
        <w:tc>
          <w:tcPr>
            <w:tcW w:w="1926" w:type="dxa"/>
          </w:tcPr>
          <w:p w14:paraId="31CF29E3" w14:textId="77777777" w:rsidR="003364A8" w:rsidRPr="003364A8" w:rsidRDefault="003364A8" w:rsidP="003364A8">
            <w:pPr>
              <w:jc w:val="center"/>
              <w:rPr>
                <w:rFonts w:ascii="Arial" w:eastAsia="Times New Roman" w:hAnsi="Arial" w:cs="Arial"/>
                <w:i/>
                <w:iCs/>
                <w:sz w:val="20"/>
                <w:szCs w:val="20"/>
                <w:lang w:eastAsia="it-IT"/>
              </w:rPr>
            </w:pPr>
            <w:r w:rsidRPr="003364A8">
              <w:rPr>
                <w:rFonts w:ascii="Arial" w:eastAsia="Times New Roman" w:hAnsi="Arial" w:cs="Arial"/>
                <w:i/>
                <w:iCs/>
                <w:sz w:val="20"/>
                <w:szCs w:val="20"/>
                <w:lang w:eastAsia="it-IT"/>
              </w:rPr>
              <w:t>Francesco Sinopoli</w:t>
            </w:r>
          </w:p>
        </w:tc>
        <w:tc>
          <w:tcPr>
            <w:tcW w:w="1926" w:type="dxa"/>
          </w:tcPr>
          <w:p w14:paraId="7386C6D3" w14:textId="77777777" w:rsidR="003364A8" w:rsidRPr="003364A8" w:rsidRDefault="003364A8" w:rsidP="003364A8">
            <w:pPr>
              <w:jc w:val="center"/>
              <w:rPr>
                <w:rFonts w:ascii="Arial" w:eastAsia="Times New Roman" w:hAnsi="Arial" w:cs="Arial"/>
                <w:i/>
                <w:iCs/>
                <w:sz w:val="20"/>
                <w:szCs w:val="20"/>
                <w:lang w:eastAsia="it-IT"/>
              </w:rPr>
            </w:pPr>
            <w:r w:rsidRPr="003364A8">
              <w:rPr>
                <w:rFonts w:ascii="Arial" w:eastAsia="Times New Roman" w:hAnsi="Arial" w:cs="Arial"/>
                <w:i/>
                <w:iCs/>
                <w:sz w:val="20"/>
                <w:szCs w:val="20"/>
                <w:lang w:eastAsia="it-IT"/>
              </w:rPr>
              <w:t>Maddalena Gissi</w:t>
            </w:r>
          </w:p>
        </w:tc>
        <w:tc>
          <w:tcPr>
            <w:tcW w:w="1926" w:type="dxa"/>
          </w:tcPr>
          <w:p w14:paraId="148672EF" w14:textId="77777777" w:rsidR="003364A8" w:rsidRPr="003364A8" w:rsidRDefault="003364A8" w:rsidP="003364A8">
            <w:pPr>
              <w:jc w:val="center"/>
              <w:rPr>
                <w:rFonts w:ascii="Arial" w:eastAsia="Times New Roman" w:hAnsi="Arial" w:cs="Arial"/>
                <w:i/>
                <w:iCs/>
                <w:sz w:val="20"/>
                <w:szCs w:val="20"/>
                <w:lang w:eastAsia="it-IT"/>
              </w:rPr>
            </w:pPr>
            <w:r w:rsidRPr="003364A8">
              <w:rPr>
                <w:rFonts w:ascii="Arial" w:eastAsia="Times New Roman" w:hAnsi="Arial" w:cs="Arial"/>
                <w:i/>
                <w:iCs/>
                <w:sz w:val="20"/>
                <w:szCs w:val="20"/>
                <w:lang w:eastAsia="it-IT"/>
              </w:rPr>
              <w:t>Giuseppe Turi</w:t>
            </w:r>
          </w:p>
        </w:tc>
        <w:tc>
          <w:tcPr>
            <w:tcW w:w="1927" w:type="dxa"/>
          </w:tcPr>
          <w:p w14:paraId="04F3EC0E" w14:textId="77777777" w:rsidR="003364A8" w:rsidRPr="003364A8" w:rsidRDefault="003364A8" w:rsidP="003364A8">
            <w:pPr>
              <w:jc w:val="center"/>
              <w:rPr>
                <w:rFonts w:ascii="Arial" w:eastAsia="Times New Roman" w:hAnsi="Arial" w:cs="Arial"/>
                <w:i/>
                <w:iCs/>
                <w:sz w:val="20"/>
                <w:szCs w:val="20"/>
                <w:lang w:eastAsia="it-IT"/>
              </w:rPr>
            </w:pPr>
            <w:r w:rsidRPr="003364A8">
              <w:rPr>
                <w:rFonts w:ascii="Arial" w:eastAsia="Times New Roman" w:hAnsi="Arial" w:cs="Arial"/>
                <w:i/>
                <w:iCs/>
                <w:sz w:val="20"/>
                <w:szCs w:val="20"/>
                <w:lang w:eastAsia="it-IT"/>
              </w:rPr>
              <w:t>Elvira Serafini</w:t>
            </w:r>
          </w:p>
        </w:tc>
        <w:tc>
          <w:tcPr>
            <w:tcW w:w="1927" w:type="dxa"/>
          </w:tcPr>
          <w:p w14:paraId="1CB39587" w14:textId="77777777" w:rsidR="003364A8" w:rsidRPr="003364A8" w:rsidRDefault="003364A8" w:rsidP="003364A8">
            <w:pPr>
              <w:jc w:val="center"/>
              <w:rPr>
                <w:rFonts w:ascii="Arial" w:eastAsia="Times New Roman" w:hAnsi="Arial" w:cs="Arial"/>
                <w:i/>
                <w:iCs/>
                <w:sz w:val="20"/>
                <w:szCs w:val="20"/>
                <w:lang w:eastAsia="it-IT"/>
              </w:rPr>
            </w:pPr>
            <w:r w:rsidRPr="003364A8">
              <w:rPr>
                <w:rFonts w:ascii="Arial" w:eastAsia="Times New Roman" w:hAnsi="Arial" w:cs="Arial"/>
                <w:i/>
                <w:iCs/>
                <w:sz w:val="20"/>
                <w:szCs w:val="20"/>
                <w:lang w:eastAsia="it-IT"/>
              </w:rPr>
              <w:t>Rino Di Meglio</w:t>
            </w:r>
          </w:p>
        </w:tc>
      </w:tr>
    </w:tbl>
    <w:p w14:paraId="5D8EE2C1" w14:textId="77777777"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A8"/>
    <w:rsid w:val="003364A8"/>
    <w:rsid w:val="00535F11"/>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22E6C"/>
  <w15:chartTrackingRefBased/>
  <w15:docId w15:val="{55344752-DB1E-4FD2-A055-B2481B85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unhideWhenUsed/>
    <w:rsid w:val="00336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2020-06-24T06:32:00Z</dcterms:created>
  <dcterms:modified xsi:type="dcterms:W3CDTF">2020-06-24T06:32:00Z</dcterms:modified>
</cp:coreProperties>
</file>